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20b5" w14:textId="fb42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Мартукскому району на 2018 год</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10 апреля 2018 года № 131. Зарегистрировано Управлением юстиции Мартукского района Департамента юстиции Актюбинской области 3 мая 2018 года № 3-8-171</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18</w:t>
      </w:r>
      <w:r>
        <w:rPr>
          <w:rFonts w:ascii="Times New Roman"/>
          <w:b w:val="false"/>
          <w:i w:val="false"/>
          <w:color w:val="000000"/>
          <w:sz w:val="28"/>
        </w:rPr>
        <w:t xml:space="preserve"> от 5 июля 2014 года "Уголовно-исполнительного Кодекса Республики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Мартукскому району на 2018 год.</w:t>
      </w:r>
    </w:p>
    <w:bookmarkEnd w:id="1"/>
    <w:bookmarkStart w:name="z4"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Мартукского района от 29 декабря 2016 года № 556 "Об установлении квоты рабочих мест для трудоустройства лиц, освобожденных из мест лишения свободы в Мартукском районе" (зарегистрированного в Реестре государственной регистрации нормативных правовых актов за № 5259, опубликованного 21 февраля 2017 года в эталонном контрольном банке нормативных правовых актов Республики Казахстан в электронном виде).</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Тлегенова Б.</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