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0f8c" w14:textId="7810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отчуждения оборонных объектов по договорам государственно-частного партнерства, в том числе по договору концессии для возмещения затрат частному партнеру и концессионеру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22 апреля 2021 года № 250. Зарегистрирован в Министерстве юстиции Республики Казахстан 23 апреля 2021 года № 22607.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26-27)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от 7 января 2005 года "Об обороне и Вооруженных Силах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отчуждения оборонных объектов по договорам государственно-частного партнерства, в том числе по договору концессии для возмещения затрат частному партнеру и концессионеру.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управлению расквартирования войск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 250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отчуждения оборонных объектов по договорам государственно-частного партнерства, в том числе по договору концессии для возмещения затрат частному партнеру и концессионеру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отчуждения оборонных объектов по договорам государственно-частного партнерства, в том числе по договору концессии для возмещения затрат частному партнеру и концессионеру (далее – Правила) определяют порядок отчуждения оборонных объектов Вооруженных Сил Республики Казахстан (далее – Вооруженные Силы) по договорам государственно-частного партнерства, в том числе по договору концессии для возмещения затрат частному партнеру и концессионеру.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ответственное структурное подразделение – структурное подразделение уполномоченного государственного органа соответствующей отрасли, на которого возложены функции по расквартированию войск, содержанию и развитию инфраструктуры Вооруженных Сил;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частный партнер – индивидуальный предприниматель, простое товарищество, консорциум или юридическое лицо, за исключением лиц, выступающих государственными партнерами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октября 2010 года "О государственно-частном партнерстве", заключившие договор государственно-частного партнерства;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концессионер – заключившие договор концессии физическое лицо, осуществляющее предпринимательскую деятельность, и (или) юридическое лицо, за исключением государственных учреждений и субъектов квазигосударственного сектора, пятьдесят и более процентов голосующих акций (долей участия в уставном капитале) которых прямо или косвенно принадлежат государству (кроме организаций по финансированию концессионных проектов), в том числе осуществляющие свою деятельность на основе договора о совместной деятельности (простое товарищество);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 концессии – письменное соглашение между концедентом и концессионером, определяющее права, обязанности и ответственность сторон, условия реализации концессии;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оборонные объекты Вооруженных Сил – недвижимое имущество, закрепленное на праве оперативного управления за государственными учреждениями Вооруженных Сил;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договор государственно-частного партнерства – письменное соглашение, определяющее права, обязанности и ответственность сторон договора государственно-частного партнерства, иные условия договора государственно-частного партнерства в рамках реализации проекта государственно-частного партнерства, в том числе по договору концессии;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государственный орган соответствующей отрасли – Министерство обороны Республики Казахстан.</w:t>
      </w:r>
    </w:p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отчуждения оборонных объектов по договорам государственно-частного партнерства, в том числе по договору концессии для возмещения затрат частному партнеру и концессионеру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Оборонные объекты отчуждаются частному партнеру или концессионеру в целях возмещения затрат по договору государственно-частного партнерства, в том числе по договору концессии.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отчуждаемых оборонных объектов Вооруженных Сил по договорам государственно-частного партнерства, в том числе концессии для возмещения затрат частному партнеру и концессионеру (далее – Перечень) формируется ответственным структурным подразделением по заявкам воинских частей и учреждений Вооруженных Сил, который предоставляется на согласование первому руководителю уполномоченного государственного органа соответствующей отрасли.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Ответственное структурное подразделение разрабатывает Перечень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26-28)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от 7 января 2005 года "Об обороне и Вооруженных Силах Республики Казахстан" (далее – Закон).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оборонных объектов, отчуждаемых по договорам государственно-частного партнерства, в том числе по договору концессии осуществляется,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января 2018 года "Об оценочной деятельности в Республике Казахстан" после утверждения Перечня Правительством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проектах договора государственно-частного партнерства, договора концессии, содержащихся в конкурсной документации, указываются порядок и сроки передачи оборонных объектов Вооруженных Сил частному партнеру и концессионеру.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После государственной приемки объекта государственно-частного партнерства и концессии, отчуждаемые оборонные объекты Вооруженных Сил по договорам государственно-частного партнерства, в том числе концессии признаются неиспользуемыми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Отчуждение оборонных объектов Вооруженных Сил оформляется </w:t>
      </w:r>
      <w:r>
        <w:rPr>
          <w:rFonts w:ascii="Times New Roman"/>
          <w:b w:val="false"/>
          <w:i w:val="false"/>
          <w:color w:val="000000"/>
          <w:sz w:val="28"/>
        </w:rPr>
        <w:t>актом приема-передачи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имущества (передаточный акт) по форме согласно приложению к настоящим Правилам в срок не более 30 календарных дней со дня государственной приемки объекта государственно-частного партнерства и концессии.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Акт приема-передачи имущества (передаточный акт) подписывается уполномоченными должностными лицами передающей и принимающей сторон и утверждается уполномоченным органом по управлению государственным имуществом.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Акт приема-передачи (передаточный акт) составляется в трех экземплярах на казахском и русском языках, по одному экземпляру для каждой из сторон, участвующих в оформлении акта приема-передачи (передаточного акта).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партнерства,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концессии для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частному партнеру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концессионеру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9" w:id="30"/>
      <w:r>
        <w:rPr>
          <w:rFonts w:ascii="Times New Roman"/>
          <w:b w:val="false"/>
          <w:i w:val="false"/>
          <w:color w:val="000000"/>
          <w:sz w:val="28"/>
        </w:rPr>
        <w:t>
      УТВЕРЖДАЮ: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</w:t>
      </w:r>
    </w:p>
    <w:p>
      <w:pPr>
        <w:spacing w:after="0"/>
        <w:ind w:left="0"/>
        <w:jc w:val="both"/>
      </w:pPr>
      <w:bookmarkStart w:name="z40" w:id="3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____________"____" ______20___ год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приема-передачи (передаточный акт)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 объекта принимаемого (передаваемого), местонахождение)</w:t>
      </w:r>
    </w:p>
    <w:bookmarkEnd w:id="32"/>
    <w:p>
      <w:pPr>
        <w:spacing w:after="0"/>
        <w:ind w:left="0"/>
        <w:jc w:val="both"/>
      </w:pPr>
      <w:bookmarkStart w:name="z42" w:id="33"/>
      <w:r>
        <w:rPr>
          <w:rFonts w:ascii="Times New Roman"/>
          <w:b w:val="false"/>
          <w:i w:val="false"/>
          <w:color w:val="000000"/>
          <w:sz w:val="28"/>
        </w:rPr>
        <w:t>
      ___________________________ "____" __________ 20___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населенного пункта)</w:t>
      </w:r>
    </w:p>
    <w:p>
      <w:pPr>
        <w:spacing w:after="0"/>
        <w:ind w:left="0"/>
        <w:jc w:val="both"/>
      </w:pPr>
      <w:bookmarkStart w:name="z43" w:id="34"/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на основании: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документа, являющегося основанием для приема (передачи) объекта)</w:t>
      </w:r>
    </w:p>
    <w:p>
      <w:pPr>
        <w:spacing w:after="0"/>
        <w:ind w:left="0"/>
        <w:jc w:val="both"/>
      </w:pPr>
      <w:bookmarkStart w:name="z44" w:id="35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комиссия в составе передающей стороны: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должность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должность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должность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 принимающей стороны: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должность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должность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должность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произвели прием (передачу)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объекта принимаемого (передаваемого), местонахождение)</w:t>
      </w:r>
    </w:p>
    <w:p>
      <w:pPr>
        <w:spacing w:after="0"/>
        <w:ind w:left="0"/>
        <w:jc w:val="both"/>
      </w:pPr>
      <w:bookmarkStart w:name="z45" w:id="36"/>
      <w:r>
        <w:rPr>
          <w:rFonts w:ascii="Times New Roman"/>
          <w:b w:val="false"/>
          <w:i w:val="false"/>
          <w:color w:val="000000"/>
          <w:sz w:val="28"/>
        </w:rPr>
        <w:t>
      На момент приема (передачи) объект находится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(техническое состояние принимаемого (передаваемого) объекта)</w:t>
      </w:r>
    </w:p>
    <w:p>
      <w:pPr>
        <w:spacing w:after="0"/>
        <w:ind w:left="0"/>
        <w:jc w:val="both"/>
      </w:pPr>
      <w:bookmarkStart w:name="z46" w:id="37"/>
      <w:r>
        <w:rPr>
          <w:rFonts w:ascii="Times New Roman"/>
          <w:b w:val="false"/>
          <w:i w:val="false"/>
          <w:color w:val="000000"/>
          <w:sz w:val="28"/>
        </w:rPr>
        <w:t>
      Стороны по принимаемому (передаваемому) объекту, в том числе по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правоустанавливающей, технической и другой документации претензии друг к другу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имеют.</w:t>
      </w:r>
    </w:p>
    <w:p>
      <w:pPr>
        <w:spacing w:after="0"/>
        <w:ind w:left="0"/>
        <w:jc w:val="both"/>
      </w:pPr>
      <w:bookmarkStart w:name="z47" w:id="38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(перечень документов по принимаемому (передаваемому) объекту)</w:t>
      </w:r>
    </w:p>
    <w:p>
      <w:pPr>
        <w:spacing w:after="0"/>
        <w:ind w:left="0"/>
        <w:jc w:val="both"/>
      </w:pPr>
      <w:bookmarkStart w:name="z48" w:id="39"/>
      <w:r>
        <w:rPr>
          <w:rFonts w:ascii="Times New Roman"/>
          <w:b w:val="false"/>
          <w:i w:val="false"/>
          <w:color w:val="000000"/>
          <w:sz w:val="28"/>
        </w:rPr>
        <w:t>
      Члены комиссии передающей стороны: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должность подпись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должность подпись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должность подпись (фамилия, имя, отчество (при его наличии))</w:t>
      </w:r>
    </w:p>
    <w:p>
      <w:pPr>
        <w:spacing w:after="0"/>
        <w:ind w:left="0"/>
        <w:jc w:val="both"/>
      </w:pPr>
      <w:bookmarkStart w:name="z49" w:id="40"/>
      <w:r>
        <w:rPr>
          <w:rFonts w:ascii="Times New Roman"/>
          <w:b w:val="false"/>
          <w:i w:val="false"/>
          <w:color w:val="000000"/>
          <w:sz w:val="28"/>
        </w:rPr>
        <w:t>
      Члены комиссии принимающей стороны: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подпись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должность подпись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должность подпись (фамилия, имя, отчество (при его наличии))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