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a9b0" w14:textId="2eaa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по инвестициям и развитию Республики Казахстан и Министра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31 декабря 2021 года № 679. Зарегистрирован в Министерстве юстиции Республики Казахстан 6 января 2022 года № 26399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по инвестициям и развитию Республики Казахстан и Министра индустрии и инфраструктурного развития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679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по инвестициям и развитию Республики Казахстан и Министра индустрии и инфраструктурного развития Республики Казахстан, в которые вносятся изменения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166 "Об утверждении Правил долгосрочного субсидирования расходов перевозчика, связанных с осуществлением перевозок пассажиров по социально значимым сообщениям" (зарегистрирован в Реестре государственной регистрации нормативных правовых актов за № 11540):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долгосрочного субсидирования расходов перевозчика, связанных с осуществлением перевозок пассажиров по социально значимым сообщениям,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Долгосрочному субсидированию подлежат следующие виды расходов в пределах утвержденного бюджета соответствующего уровня: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на услуги магистральной железнодорожной сети, в том числе расходы за прицепку, пробег прицепных и беспересадочных вагонов в составе поездов других перевозчиков;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на услуги локомотивной тяги в пассажирском движении по отпускной цене;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на содержание вагонов, задействованных при перевозке пассажиров по социально значимым сообщениям, включая их плановые виды ремонтов, текущий отцепочный ремонт и техническое обслуживание, амортизационные отчисления по вагонам;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на аренду вагонов, задействованных при перевозке пассажиров по социально значимым сообщениям;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расходы на приобретение вагонов, задействованных при перевозке пассажиров по социально значимым сообщениям, включая финансовые расходы по займам, за исключением случаев их субсидирования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(контейнеров), утвержденными приказом Министра по инвестициям и развитию Республики Казахстан от 16 июня 2016 года № 497 (зарегистрирован в Реестре государственной регистрации нормативных правовых актов за № 14002);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расходы на услуги железнодорожных вокзалов и станций по предоставлению информации справочными бюро и по предоставлению пассажирам доступа к помещениям вокзала общего пользования;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расходы, связанные с эксплуатацией моторвагонного подвижного состава, включая фонд оплаты труда локомотивной бригады, топливо и электроэнергию на тягу поездов.".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167 "Об утверждении методики определения объемов долгосрочного субсидирования расходов перевозчиков, осуществляющих перевозки пассажиров по социально значимым сообщениям" (зарегистрирован в Реестре государственной регистрации нормативных правовых актов за № 11541):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объемов долгосрочного субсидирования расходов перевозчиков, осуществляющих перевозки пассажиров по социально значимым сообщениям, утвержденной указанным приказом: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При расчете расходов перевозчика по межобластным сообщениям учитываются расходы на услуги локомотивной тяги, оказанные по отпускной цене.".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22 апреля 2020 года № 218 "Об утверждении Методики определения объемов долгосрочного субсидирования расходов оператора локомотивной тяги в пассажирском движении по социально значимым сообщениям" (зарегистрирован в Реестре государственной регистрации нормативных правовых актов за № 20468):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объемов долгосрочного субсидирования расходов оператора локомотивной тяги в пассажирском движении по социально значимым сообщениям, утвержденной указанным приказом: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Расчет расходов за услуги предоставления локомотивной тяги в пассажирском движении определяется по формулам двумя этапами: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1-этап: Стоимость услуг по поезду: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Rлок = Vтеп.лок.час* (Ртеп.лок.час.пред. – Ртеп.лок.час.отпуск.) + Vэлек.лок.час* (Рэлек.лок.час.пред. – Рэлек.лок.час.отпуск.)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Rлок – расходы за услуги локомотивной тяги по поезду;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Vтеп.лок.час – количество планируемых локомотиво-часов тепловозной тяги;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Pтеп.лок.час.пред. – тариф за услуги тепловозной тяги по предельной цене,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Pтеп.лок.час.отпуск. – тариф за услуги тепловозной тяги по отпускной цене, определенной условиями договора между перевозчиком и оператором локомотивной тяги в пассажирском движении,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Vэлек.лок.час – количество планируемых локомотиво-часов электровозной тяги;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Pэлек.лок.час.пред. – тариф за услуги электровозной тяги по предельной цене,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Pэлек.лок.час.отпуск. – тариф за услуги электровозной тяги по отпускной цене, определенной условиями договора между перевозчиком и оператором локомотивной тяги в пассажирском движении,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2-этап: Стоимость услуг по типам вагонов: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69469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Rлок.ваг. – стоимость услуг по i-типу или группе вагонов, курсирующих в составе поезда,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Rлок – стоимость услуг по поезду,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VQiваг-км.поезд – пробег поезда по территории Республики Казахстан на планируемый период, ваг/км;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VQiваг-км.ваг. – пробег по территории Республики Казахстан соответствующего вагона, курсирующего в составе поезда на планируемый период, ваг/км.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Объем долгосрочного субсидирования расходов оператора локомотивной тяги в пассажирском движении по социально значимым сообщениям определяется исходя из рассчитанных расходов на услуги согласно пункту 5 настоящей Методики.";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