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0d18" w14:textId="a930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финансирования и распределения между регионами Республики Казахстан единоразовых ваучеров на признание профессиональных квалификаций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сентября 2023 года № 380. Зарегистрирован в Министерстве юстиции Республики Казахстан 12 сентября 2023 года № 33404.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выдачи, финансирования и распределения между регионами Республики Казахстан единоразовых ваучеров на признание профессиональных квалификаций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и размещение настоящего приказа на официальном интернет-ресурсе Министерства труда и социальной защиты населения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 № 380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выдачи, финансирования и распределения между регионами Республики Казахстан единоразовых ваучеров на признание профессиональных квалификаций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финансирования и распределения между регионами Республики Казахстан единоразовых ваучеров на признание профессиональных квалификаций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профессиональных квалификациях" (далее - Закон) и определяют порядок выдачи, финансирования и распределения между регионами Республики Казахстан единоразовых ваучеров на признание профессиональных квалификаций.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информационная система социально-трудовой сферы (далее - АИС "Рынок труда") – объект информатизации, предназначенный для автоматизации деятельности уполномоченного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трудовой мобильности – юридическое лицо, создаваемое местным исполнительным органом области, города республиканского значения и столицы в целях разработки и реализации мер содействия занятости;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профессий – систематизированный в электронной форме свод информации по профессиям, по которым осуществляется признание профессиональных квалификаций;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- квалификационным требованиям;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признания профессиональных квалификаций (далее - центр признания) – юридическое лицо, аккредитованное в порядке, установленном законодательством Республики Казахстан, осуществляющее признание профессиональных квалификаций;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единоразовый ваучер на признание профессиональной квалификации (далее - единоразовый ваучер) – электронный документ, выдаваемый зарегистрированным безработным лицам и удостоверяющий их право на прохождение процедуры признания профессиональной квалификации по профессии, включенной в реестр профессий, на бесплатной основе;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признания профессиональных квалификаций (далее - уполномоченный орган) – центральный исполнительный орган, осуществляющий руководство, а также межотраслевую координацию по признанию профессиональных квалификаций в пределах, предусмотренных законодательством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 о признании профессиональной квалификации – документ, удостоверяющий соответствие профессиональной квалификации кандидата требованиям, предъявляемым к выполнению трудовых функций по определенной профессии;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карьерный центр –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Национальная система квалификаций (далее - НСК)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единоразовых ваучеров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единоразового ваучера лицо, зарегистрированное в качестве безработного, (далее – претендент) до 15 октября текущего года в личном кабинете на цифровой платформе НСК подает подписанное электронной цифровой подписью (далее - ЭЦП) заявление на получение единоразового ваучера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Специалист карьерного центра в течение двух рабочих дней после дня подачи заявления вносит указанные в заявлении данные претендента в его индивидуальную карту занятости и формирует запрос в АИС "Рынок труда" для проверки претендента на предмет его регистрации в качестве безработного и (или) получения единоразового ваучера в текущем году.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АИС "Рынок труда" в течение одного рабочего дня после дня поступления запроса проверяет претендента на предмет его регистрации в качестве безработного и (или) получения единоразового ваучера в текущем году.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регистрации претендента в качестве безработного и (или) получения им единоразового ваучера в текущем году АИС "Рынок труда" присваивает запросу специалиста карьерного центра в АИС "Рынок труда" статус "НЕ ПОДТВЕРЖДЕН".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карьерного центра в течение одного рабочего дня после дня присвоения запросу статуса "НЕ ПОДТВЕРЖДЕН" направляет уведомление об отказе в предоставлении единоразового ваучера в личный кабинет претендента на цифровой платформе НСК.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регистрации претендента в качестве безработного и не получения им единоразового ваучера в текущем году АИС "Рынок труда" присваивает запросу специалиста карьерного центра в АИС "Рынок труда" статус "ПОДТВЕРЖДЕН".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карьерного центра в течение одного рабочего дня после дня присвоения запросу статуса "ПОДТВЕРЖДЕН" направляет уведомление о подтверждении права на получение единоразового ваучера в личный кабинет претендента на цифровой платформе НСК и оформляет в АИС "Рынок труда" направление претендента на получение единоразового ваучера.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АИС "Рынок труда" в течение одного рабочего дня после дня поступления направления претендента на получение единоразового ваучера направляет заявление претендента в личный кабинет центра признания, выбранного претендентом, на цифровой платформе НСК.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трех рабочих дней после дня получения заявления центр признания подтверждает возможность прохождения претендентом процедуры признания профессиональной квалификации по заявленной профессии в личном кабинете претендента на цифровой платформе НСК и направляет подтверждение в центр трудовой мобильности посредством АИС "Рынок труда".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 трудовой мобильности в течение двух рабочих дней после подтверждения центра признания направляет единоразовый ваучер в форме электронного документа в личный кабинет претендента на цифровой платформе НСК с указанием даты его выдачи и срока действия, индивидуального идентификационного номера претендента и наименования центра признания.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единоразового ваучера составляет шестьдесят календарных дней после дня его выдачи.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единоразовый ваучер не был использован претендентом в течение срока его действия, то он автоматически аннулируется, информация об этом поступает в АИС "Рынок труда".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действия единоразового ваучера продлевается на период временной нетрудоспособности получателя единоразового ваучера, указанный в листе временной нетрудоспособности.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продления срока действия единоразового ваучера получатель единоразового ваучера размещает в личном кабинете на цифровой платформе НСК копию листа временной нетрудоспособности, который направляется в АИС "Рынок труда".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Центр трудовой мобильности в течение одного рабочего дня после дня получения в АИС "Рынок труда" копии листа временной нетрудоспособности продлевает срок действия единоразового ваучера с актуализацией соответствующих данных в личном кабинете получателя единоразового ваучера на цифровой платформе НСК.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финансирования и распределения между регионами Республики Казахстан единоразовых ваучеров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прохождение процедуры признания профессиональной квалификации на основе единоразового ваучера осуществляется за счет местного бюджета.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прохождение процедуры признания профессиональной квалификации на основе единоразового ваучера возмещаются в размере: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фактически понесенных затрат на оплату услуг центра признания по признанию профессиональной квалификации получателя единоразового ваучера по профессии: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социально-гуманитарного профиля, но не более трехкратного месячного расчетного показателя, установленного на соответствующий финансовый год законом о республиканском бюджете;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технического профиля, но не более семикратного месячного расчетного показателя, установленного на соответствующий финансовый год законом о республиканском бюджете;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шестикратного месячного расчетного показателя, установленного на соответствующий финансовый год законом о республиканском бюджете, на оказание материальной помощи в случае прохождения процедуры признания профессиональной квалификации получателем единоразового ваучера за пределами региона его постоянной регистрации. 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Разницу между суммой возмещения расходов на прохождение процедуры признания профессиональной квалификации на основе ваучера и фактическими понесенными затратами на ее прохождение претендент оплачивает самостоятельно за счет собственных средств.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течение трех рабочих дней после дня подписания экзаменационной комиссией протокола решения о прохождении процедуры признания профессиональной квалификации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профессиональных квалификаций,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Закона, центр признания направляет в центр трудовой мобильности сформированный в личном кабинете на цифровой платформе НСК и подписанный ЭЦП акт оказанных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Центр трудовой мобильности в течение пяти рабочих дней после дня получения акта оказанных услуг перечисляет денежные средства: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центру признания в соответствии с подпунктом 1) пункта 14 настоящих Правил;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получателю единоразового ваучера в соответствии с подпунктом 2) пункта 14 настоящих Правил.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Распределение единоразовых ваучеров между регионами Республики Казахстан осуществляется уполномоченным органом на трехлетний период и пересматривается каждые три года с учетом актуальных статистических данных о рынке труда.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и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регионами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единоразовых ваучеров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квалификаций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документа</w:t>
            </w:r>
          </w:p>
        </w:tc>
      </w:tr>
    </w:tbl>
    <w:p>
      <w:pPr>
        <w:spacing w:after="0"/>
        <w:ind w:left="0"/>
        <w:jc w:val="both"/>
      </w:pPr>
      <w:bookmarkStart w:name="z60" w:id="49"/>
      <w:r>
        <w:rPr>
          <w:rFonts w:ascii="Times New Roman"/>
          <w:b w:val="false"/>
          <w:i w:val="false"/>
          <w:color w:val="000000"/>
          <w:sz w:val="28"/>
        </w:rPr>
        <w:t>
      Центр трудовой мобильности 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республиканского значения, столица)</w:t>
      </w:r>
    </w:p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единоразового ваучера</w:t>
      </w:r>
    </w:p>
    <w:bookmarkEnd w:id="50"/>
    <w:p>
      <w:pPr>
        <w:spacing w:after="0"/>
        <w:ind w:left="0"/>
        <w:jc w:val="both"/>
      </w:pPr>
      <w:bookmarkStart w:name="z62" w:id="51"/>
      <w:r>
        <w:rPr>
          <w:rFonts w:ascii="Times New Roman"/>
          <w:b w:val="false"/>
          <w:i w:val="false"/>
          <w:color w:val="000000"/>
          <w:sz w:val="28"/>
        </w:rPr>
        <w:t>
      Я, [</w:t>
      </w:r>
      <w:r>
        <w:rPr>
          <w:rFonts w:ascii="Times New Roman"/>
          <w:b w:val="false"/>
          <w:i/>
          <w:color w:val="000000"/>
          <w:sz w:val="28"/>
        </w:rPr>
        <w:t>Фамилия, И</w:t>
      </w:r>
      <w:r>
        <w:rPr>
          <w:rFonts w:ascii="Times New Roman"/>
          <w:b w:val="false"/>
          <w:i/>
          <w:color w:val="000000"/>
          <w:sz w:val="28"/>
        </w:rPr>
        <w:t>мя, Отчество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]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</w:t>
      </w:r>
      <w:r>
        <w:rPr>
          <w:rFonts w:ascii="Times New Roman"/>
          <w:b w:val="false"/>
          <w:i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мне единоразовый ваучер на признание профессиональной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в целях установления [</w:t>
      </w:r>
      <w:r>
        <w:rPr>
          <w:rFonts w:ascii="Times New Roman"/>
          <w:b w:val="false"/>
          <w:i/>
          <w:color w:val="000000"/>
          <w:sz w:val="28"/>
        </w:rPr>
        <w:t>уровень квалификации</w:t>
      </w:r>
      <w:r>
        <w:rPr>
          <w:rFonts w:ascii="Times New Roman"/>
          <w:b w:val="false"/>
          <w:i w:val="false"/>
          <w:color w:val="000000"/>
          <w:sz w:val="28"/>
        </w:rPr>
        <w:t>]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профессиональной квалификации (навыка, навыков) по профессии [профессия].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получение информационных рассылок на телефонный номер абонентского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устройства сотовой связи и (или) на электронный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Сообщаю о себе следующие сведения: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 [</w:t>
      </w:r>
      <w:r>
        <w:rPr>
          <w:rFonts w:ascii="Times New Roman"/>
          <w:b w:val="false"/>
          <w:i/>
          <w:color w:val="000000"/>
          <w:sz w:val="28"/>
        </w:rPr>
        <w:t>полное наименование учебной организации, направление подготовки, дата окончания</w:t>
      </w:r>
      <w:r>
        <w:rPr>
          <w:rFonts w:ascii="Times New Roman"/>
          <w:b w:val="false"/>
          <w:i w:val="false"/>
          <w:color w:val="000000"/>
          <w:sz w:val="28"/>
        </w:rPr>
        <w:t>].</w:t>
      </w:r>
    </w:p>
    <w:bookmarkEnd w:id="52"/>
    <w:p>
      <w:pPr>
        <w:spacing w:after="0"/>
        <w:ind w:left="0"/>
        <w:jc w:val="both"/>
      </w:pPr>
      <w:bookmarkStart w:name="z64" w:id="53"/>
      <w:r>
        <w:rPr>
          <w:rFonts w:ascii="Times New Roman"/>
          <w:b w:val="false"/>
          <w:i w:val="false"/>
          <w:color w:val="000000"/>
          <w:sz w:val="28"/>
        </w:rPr>
        <w:t>
      2. Сведения, подтверждающие трудовую деятельность (трудовой стаж) по указанной профессиональной квалификации [</w:t>
      </w:r>
      <w:r>
        <w:rPr>
          <w:rFonts w:ascii="Times New Roman"/>
          <w:b w:val="false"/>
          <w:i/>
          <w:color w:val="000000"/>
          <w:sz w:val="28"/>
        </w:rPr>
        <w:t>информация электронного трудового договора</w:t>
      </w:r>
      <w:r>
        <w:rPr>
          <w:rFonts w:ascii="Times New Roman"/>
          <w:b w:val="false"/>
          <w:i w:val="false"/>
          <w:color w:val="000000"/>
          <w:sz w:val="28"/>
        </w:rPr>
        <w:t>].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Ссылка на облачную систему хранения документов об образовании и подтверждающих трудовую деятельность согласно подпунктам 1), 2) и 3)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bookmarkStart w:name="z65" w:id="54"/>
      <w:r>
        <w:rPr>
          <w:rFonts w:ascii="Times New Roman"/>
          <w:b w:val="false"/>
          <w:i w:val="false"/>
          <w:color w:val="000000"/>
          <w:sz w:val="28"/>
        </w:rPr>
        <w:t>
      3. Навык или навыки по профессии [профессия]-[навык (-и)]/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ввода вручную)</w:t>
      </w:r>
    </w:p>
    <w:p>
      <w:pPr>
        <w:spacing w:after="0"/>
        <w:ind w:left="0"/>
        <w:jc w:val="both"/>
      </w:pPr>
      <w:bookmarkStart w:name="z66" w:id="55"/>
      <w:r>
        <w:rPr>
          <w:rFonts w:ascii="Times New Roman"/>
          <w:b w:val="false"/>
          <w:i w:val="false"/>
          <w:color w:val="000000"/>
          <w:sz w:val="28"/>
        </w:rPr>
        <w:t>
      4. Номер 20-ти значного карточного или текущего счета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bookmarkStart w:name="z67" w:id="56"/>
      <w:r>
        <w:rPr>
          <w:rFonts w:ascii="Times New Roman"/>
          <w:b w:val="false"/>
          <w:i w:val="false"/>
          <w:color w:val="000000"/>
          <w:sz w:val="28"/>
        </w:rPr>
        <w:t>
      5. Место проживания [</w:t>
      </w:r>
      <w:r>
        <w:rPr>
          <w:rFonts w:ascii="Times New Roman"/>
          <w:b w:val="false"/>
          <w:i/>
          <w:color w:val="000000"/>
          <w:sz w:val="28"/>
        </w:rPr>
        <w:t>место постоянной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>]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 (а)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 признания профессиональной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</w:t>
      </w:r>
      <w:r>
        <w:rPr>
          <w:rFonts w:ascii="Times New Roman"/>
          <w:b w:val="false"/>
          <w:i/>
          <w:color w:val="000000"/>
          <w:sz w:val="28"/>
        </w:rPr>
        <w:t>аккредитованный центр признания</w:t>
      </w:r>
      <w:r>
        <w:rPr>
          <w:rFonts w:ascii="Times New Roman"/>
          <w:b w:val="false"/>
          <w:i w:val="false"/>
          <w:color w:val="000000"/>
          <w:sz w:val="28"/>
        </w:rPr>
        <w:t>].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мобильного телефона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(e-mail)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"___"___________20___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и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регионами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единоразовых ваучеров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квалификаций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(Центр трудовой мобильности)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наименование, адрес, данные о средствах связи)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(Центр признания профессиональных квалификаций)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наименование, адрес, данные о средствах связи)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ИИН/БИН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_______________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_______________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_______________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_______________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ОКАЗАННЫХ УСЛУГ*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документа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составления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 (в разрезе их подвидов в соответствии с технической спецификацией, заданием, графиком оказания услуг при их наличии)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оказания услуг**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Оказано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" w:id="57"/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лиц, прошедших процедуру признания профессиональных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квалификаций на _______________ страницах.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 (Исполнитель)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__________/____________/______________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подпись расшифровка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(Заказчик)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___________/___________/______________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подпись расшифровка подписи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(принятия)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p>
      <w:pPr>
        <w:spacing w:after="0"/>
        <w:ind w:left="0"/>
        <w:jc w:val="both"/>
      </w:pPr>
      <w:bookmarkStart w:name="z71" w:id="5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Применяется для приемки-передачи оказанных услуг, за исключением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в случае, если даты оказанных услуг приходятся на различные периоды, а также в случае, если даты оказания услуг и даты подписания (принятия) услуг различны.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