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68069" w14:textId="08680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Санитарных правил "Санитарно-эпидемиологические требования к организации и проведению профилактических прививок населению"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21 сентября 2023 года № 150. Зарегистрирован в Министерстве юстиции Республики Казахстан 26 сентября 2023 года № 33463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c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95 Кодекса Республики Казахстан "О здоровье народа и системе здравоохранения" и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</w:t>
      </w:r>
      <w:r>
        <w:rPr>
          <w:rFonts w:ascii="Times New Roman"/>
          <w:b w:val="false"/>
          <w:i w:val="false"/>
          <w:color w:val="000000"/>
          <w:sz w:val="28"/>
        </w:rPr>
        <w:t>Санитарные 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"Санитарно-эпидемиологические требования к организации и проведению профилактических прививок населению" согласно приложению к настоящему приказу.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13 июня 2018 года № 361 "Об утверждении Санитарных правил "Санитарно-эпидемиологические требования по проведению профилактических прививок населению" (зарегистрирован в Реестре государственной регистрации нормативных правовых актов под № 17206).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санитарно-эпидемиологического контроля Министерства здравоохранения Республики Казахстан в установленном законодательством Республики Казахстан порядке обеспечить: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здравоохранения Республики Казахстан после его официального опубликования;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здравоохранения Республики Казахстан сведений об исполнении мероприятий, предусмотренных подпунктами 1) и 2) настоящего пункта.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вице-министра здравоохранения Республики Казахстан.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Министра здравоохранения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Султангазиев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исполняющий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сентября 2023 года № 150</w:t>
            </w:r>
          </w:p>
        </w:tc>
      </w:tr>
    </w:tbl>
    <w:bookmarkStart w:name="z15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Санитарные правила "Санитарно-эпидемиологические требования к организации и проведению профилактических прививок населению"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Санитарные правила "Санитарно-эпидемиологические требования к организации и проведению профилактических прививок населению" (далее – Санитарные правила)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95 Кодекса Республики Казахстан "О здоровье народа и системе здравоохранения" (далее – Кодекс) и </w:t>
      </w:r>
      <w:r>
        <w:rPr>
          <w:rFonts w:ascii="Times New Roman"/>
          <w:b w:val="false"/>
          <w:i w:val="false"/>
          <w:color w:val="000000"/>
          <w:sz w:val="28"/>
        </w:rPr>
        <w:t>подпунктом 113)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15 Положения о Министерстве здравоохранения Республики Казахстан, утвержденного постановлением Правительства Республики Казахстан от 17 февраля 2017 года № 71 и устанавливают санитарно-эпидемиологические требования к организации и проведению профилактических прививок.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Санитарных правилах применяются следующие термины и определения: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анатоксины – иммунобиологические лекарственные препараты, приготовленные из токсина или полученные по рекомбинантной технологии, не имеющие выраженных токсических свойств, способные индуцировать выработку антител к исходному токсину;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инактивированные вакцины – вакцины, приготовленные из убитых микроорганизмов или из отдельных компонентов микробной клетки и продуктов их жизнедеятельности, а также полученные другими биотехнологическими методами;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вакцины – лекарственные препараты для специфической профилактики инфекционных заболеваний, оказывающие профилактический эффект через иммунную систему;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иммунологический лекарственный препарат (иммунобиологический лекарственный препарат) (далее – ИЛП) – лекарственный препарат, предназначенный для формирования активного или пассивного иммунитета или диагностики наличия иммунитета или диагностики (выработки) специфического приобретенного изменения иммунологического ответа на аллергизирующие вещества;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иммуноглобулины – иммунобиологические лекарственные препараты, изготовленные из сыворотки крови человека и животных, а также моноклональные антитела, применяемые с целью экстренной профилактики и лечения инфекционных заболеваний;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неблагоприятные проявления после иммунизации (далее – НППИ) – медицинский случай, имеющий место после иммунизации, вызывающий обеспокоенность у медицинского работника или населения и предположительно вызванный иммунизацией;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живые вакцины – вакцины, приготовленные из живых ослабленных микроорганизмов.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Для проведения профилактических прививок населению используются ИЛП профилактического действия, предназначенные для специфической профилактики инфекционных заболеваний, оказывающие лечебный и профилактический эффект через иммунную систему – анатоксины, вакцины, иммуноглобулины, иммунные сыворотки, зарегистрированные и разрешенные к применению в Республике Казахстан,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251 Кодекса.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проведении профилактических прививок населению по эпидемиологическим показаниям и при возникновении НППИ выносится постановление Главного государственного санитарного врача Республики Казахстан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38 Кодекса.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Профилактические прививки проводятся в специально оборудованных прививочных кабинетах организаций здравоохранения и (или) в процедурном кабинете медицинского пункта организаций образования (независимо от форм собственности) (далее – прививочные пункты) при наличии лицензии на осуществление амбулаторно-поликлинической помощи взрослому и (или) детскому населению по специальностям: первичная медико-санитарная помощь и(или) стационарная помощь и (или) стационарозамещающая помощь взрослому и (или) детскому населению.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Прививочные пункты обеспечиваются наборами для неотложной помощи (роторасширитель, языкодержатель, мешок "Амбу") и противошоковой терапии, включающими адреномиметики, антигистаминные, гормональные, бронхолитические препараты, стерильную вату, этиловый спирт или спиртовые салфетки, шприцы, венозный катетер, систему для проведения внутривенных инфузий, бинты, жгут, а также инструкцию по их применению и алгоритм действий при анафилактическом шоке.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При отсутствии организации здравоохранения в населенном пункте, медицинского работника в организации здравоохранения, образования или условий для хранения вакцин и других ИЛП, профилактические прививки проводятся выездной прививочной бригадой.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При отсутствии или несоответствии медицинского пункта организации образования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приказа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5 августа 2021 года №ҚР ДСМ-76 "Об утверждении Санитарных правил "Санитарно-эпидемиологические требования к объектам образования" (зарегистрирован в Реестре государственной регистрации нормативных правовых актов под № 23890), профилактические прививки проводятся выездной прививочной бригадой. В состав выездной прививочной бригады, укомплектованной автотранспортом, термоконтейнером, прививочным материалом, одноразовыми и самоблокирующимися шприцами, набором противошоковой терапии, входит врач или фельдшер и прививочная медицинская сестра, имеющие допуск к проведению профилактических прививок. Для вакцинаторов со стажем работы в проведении профилактических прививок населению менее 1 года назначается наставничество.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Допуск к проведению профилактических прививок медицинским работникам выдается ежегодно комиссией по выдаче допуска к проведению профилактических прививок при организации здравоохранения. Организация проведения прививок, подготовка специалистов, причастных к иммунопрофилактике, в том числе узкого профиля, осуществляется руководителем организации здравоохранения. Допуск к проведению профилактических прививок хранится на рабочем месте медицинского работника в течение 1 года.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Профилактические прививки проводятся в сроки,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сентября 2020 года № 612 "Об утверждении перечня заболеваний, против которых проводятся обязательные профилактические прививки в рамках гарантированного объема медицинской помощи, правил, сроков их проведения и групп населения, подлежащих профилактическим прививкам" (далее – Постановление № 612).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Оптимальный уровень охвата детей и подростков профилактическими прививками в сроки,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, составляет не менее 95 % за год.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Для обеспечения полного охвата профилактическими прививками подлежащего иммунизации контингента проводится учет детей, проживающих на территории обслуживания, закрепленной за организацией здравоохранения с ежемесячной корректировкой числа родившихся, умерших, прибывших или убывших лиц в информационной системе "Регистр прикрепленного населения".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В прививочных пунктах организаций здравоохранения независимо от форм собственности допускается проведение вакцинации против инфекций, не включенных в Перечень заболеваний, против которых проводятся обязательные профилактические прививки в рамках гарантированного объема медицинской помощи (далее – Перечень), утвержденный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 xml:space="preserve">, а также допускается проведение вакцинации лиц, не входящих в группу населения, подлежащих плановым прививкам, утвержденных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. Для профилактики заболеваний, не включенных в Перечень и вакцинации групп населения, подлежащих плановым прививкам, не используются ИЛП, приобретенные в рамках гарантированного объема медицинской помощи.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Санитарно-эпидемиологические требования к организации и проведению профилактических прививок населению</w:t>
      </w:r>
    </w:p>
    <w:bookmarkEnd w:id="31"/>
    <w:bookmarkStart w:name="z38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Санитарно-эпидемиологические требования к прививочным пунктам по проведению профилактических прививок населению</w:t>
      </w:r>
    </w:p>
    <w:bookmarkEnd w:id="32"/>
    <w:bookmarkStart w:name="z39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Требования к внутренней отделке, отоплению, вентиляции, искусственному и естественному освещению, водоснабжению, водоотведению, мебели, оборудованию, прививочного пункта обеспечиваются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11 августа 2020 года № ҚР ДСМ-96/2020 "Санитарные правила "Санитарно-эпидемиологические требования к объектам здравоохранения" (зарегистрирован в Реестре государственной регистрации нормативных правовых актов под № 21080) (далее – приказ № ҚР ДСМ-96/2020).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В прививочном пункте не допускается проведение других медицинских процедур (манипуляций) за исключением медицинских пунктов в сельских населенных пунктах с численностью населения от 50 до 500 человек, а также медицинских пунктов при организациях образования и на промышленных объектах. Не допускается совмещать проведение профилактических прививок с проведением других медицинских процедур (манипуляций).</w:t>
      </w:r>
    </w:p>
    <w:bookmarkEnd w:id="34"/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Прививочный пункт оснащается следующим оборудованием и мебелью:</w:t>
      </w:r>
    </w:p>
    <w:bookmarkEnd w:id="35"/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холодильное оборудование с двумя термометрами и достаточным объемом для хранения ИЛП, соответствующее требованиям хранения медицинских препаратов и обеспечивающее оптимальный температурный режим;</w:t>
      </w:r>
    </w:p>
    <w:bookmarkEnd w:id="36"/>
    <w:bookmarkStart w:name="z43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термоконтейнер или холодильная сумка с хладоэлементами достаточного объема для транспортировки и хранения ИЛП в течение рабочего дня;</w:t>
      </w:r>
    </w:p>
    <w:bookmarkEnd w:id="37"/>
    <w:bookmarkStart w:name="z44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термоконтейнер для временного хранения ИЛП при аварийном отключении электроэнергии;</w:t>
      </w:r>
    </w:p>
    <w:bookmarkEnd w:id="38"/>
    <w:bookmarkStart w:name="z45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рабочий стол, стулья;</w:t>
      </w:r>
    </w:p>
    <w:bookmarkEnd w:id="39"/>
    <w:bookmarkStart w:name="z46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медицинский стол для подготовки ИЛП к использованию;</w:t>
      </w:r>
    </w:p>
    <w:bookmarkEnd w:id="40"/>
    <w:bookmarkStart w:name="z4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медицинский шкаф для хранения инструментов и лекарственных средств;</w:t>
      </w:r>
    </w:p>
    <w:bookmarkEnd w:id="41"/>
    <w:bookmarkStart w:name="z4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наборы для неотложной помощи (роторасширитель, языкодержатель, мешок "Амбу") и противошоковой терапии, включающие адреномиметики, антигистаминные, гормональные, бронхолитические препараты, стерильную вату, этиловый спирт или спиртовые салфетки, шприцы, венозный катетер, систему для проведения внутривенных инфузий, бинты, жгут, а также инструкцию по их применению и алгоритм действий при анафилактическом шоке;</w:t>
      </w:r>
    </w:p>
    <w:bookmarkEnd w:id="42"/>
    <w:bookmarkStart w:name="z4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пеленальный стол и (или) медицинская кушетка;</w:t>
      </w:r>
    </w:p>
    <w:bookmarkEnd w:id="43"/>
    <w:bookmarkStart w:name="z5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бикс со стерильным материалом;</w:t>
      </w:r>
    </w:p>
    <w:bookmarkEnd w:id="44"/>
    <w:bookmarkStart w:name="z5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раковина с подводкой холодной и горячей воды с установкой локтевых и бесконтактных кранов со смесителями, с обеспечением достаточного количества антисептиков и дезинфицирующих средств;</w:t>
      </w:r>
    </w:p>
    <w:bookmarkEnd w:id="45"/>
    <w:bookmarkStart w:name="z5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тонометр, термометры, шпатели, одноразовые шприцы;</w:t>
      </w:r>
    </w:p>
    <w:bookmarkEnd w:id="46"/>
    <w:bookmarkStart w:name="z5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емкость для обеззараживания остатков ИЛП;</w:t>
      </w:r>
    </w:p>
    <w:bookmarkEnd w:id="47"/>
    <w:bookmarkStart w:name="z5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контейнеры, емкости для безопасного сбора и утилизации медицинских отходов класса "А" и класса "Б" (далее – КБСУ);</w:t>
      </w:r>
    </w:p>
    <w:bookmarkEnd w:id="48"/>
    <w:bookmarkStart w:name="z5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стационарный или переносной бактерицидный облучатель.</w:t>
      </w:r>
    </w:p>
    <w:bookmarkEnd w:id="49"/>
    <w:bookmarkStart w:name="z56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Санитарно-эпидемиологические требования к проведению профилактических прививок населению</w:t>
      </w:r>
    </w:p>
    <w:bookmarkEnd w:id="50"/>
    <w:bookmarkStart w:name="z5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Перед проведением профилактической прививки врач общей практики/терапевт или педиатр, при отсутствии врача – фельдшер проводит сбор анамнеза, медицинский осмотр прививаемого лица с термометрией, при отсутствии противопоказаний к иммунизации оформляет допуск к проведению профилактической прививки в медицинском документе прививаемого лица в медицинскую информационную систему (далее – МИС), предоставляет прививаемому лицу или его родителю или иному законному представителю несовершеннолетнего и гражданина, признанного недееспособным в порядке, установленном судом (далее – законный представитель) информацию о профилактической прививке, возможных реакциях и НППИ, последствиях отказа от прививки.</w:t>
      </w:r>
    </w:p>
    <w:bookmarkEnd w:id="51"/>
    <w:bookmarkStart w:name="z58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Решение о проведении профилактических прививок, временном или постоянном медицинском противопоказании к проведению профилактических прививок на основании заключения профильных специалистов принимает врач общей практики/терапевт или педиатр, при отсутствии врача – фельдшер. Учет временных, длительных и постоянных медицинских противопоказаний к проведению профилактических прививок проводится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</w:t>
      </w:r>
    </w:p>
    <w:bookmarkEnd w:id="52"/>
    <w:bookmarkStart w:name="z59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Медицинское обследование прививаемого лица перед проведением профилактических прививок проводят при предъявлении им жалоб на ухудшение состояния здоровья и (или) при наличии симптомов заболеваний. </w:t>
      </w:r>
    </w:p>
    <w:bookmarkEnd w:id="53"/>
    <w:bookmarkStart w:name="z60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Контакт с инфекционным больным, ограничительные мероприятия не являются противопоказанием к проведению профилактической прививки.</w:t>
      </w:r>
    </w:p>
    <w:bookmarkEnd w:id="54"/>
    <w:bookmarkStart w:name="z61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Прививки проводятся после получения информированного согласия на проведение прививок прививаемого лица или законного представителя. Информированное согласие на проведение профилактических прививок оформляется в бумажном или электронном виде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При отказе прививаемого лица или его законного представителя от получения профилактических прививок, оформляется отказ от профилактических прививок в бумажном или электронном виде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 Информированное согласие или отказ вносятся в МИС.</w:t>
      </w:r>
    </w:p>
    <w:bookmarkEnd w:id="55"/>
    <w:bookmarkStart w:name="z62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Опрос прививаемого лица или его законного представителя перед проведением профилактической прививки проводится по Вопроснику для медицинских работников по опросу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56"/>
    <w:bookmarkStart w:name="z63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Для профилактики развития НППИ профилактические прививки населению проводятся с учетом перечня медицинских противопоказаний к проведению профилактических прививок, утвержденного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21 октября 2020 года № ҚР ДСМ-146/2020 "Об утверждении перечня медицинских противопоказаний к проведению профилактических прививок" (зарегистрирован в Реестре государственной регистрации нормативных правовых актов под № 21485).</w:t>
      </w:r>
    </w:p>
    <w:bookmarkEnd w:id="57"/>
    <w:bookmarkStart w:name="z64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целях безопасности введения вакцин и других ИЛП населению требуется:</w:t>
      </w:r>
    </w:p>
    <w:bookmarkEnd w:id="58"/>
    <w:bookmarkStart w:name="z65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тщательное изучение маркировки (название, срок годности, соответствие внешнего вида препарата описанию в инструкции, целостность) каждой единицы (ампулы или флакона) ИЛП перед использованием; </w:t>
      </w:r>
    </w:p>
    <w:bookmarkEnd w:id="59"/>
    <w:bookmarkStart w:name="z66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проведение обработки места введения 70 % спиртом, если нет других указаний в инструкциях, прилагаемых к вакцине;</w:t>
      </w:r>
    </w:p>
    <w:bookmarkEnd w:id="60"/>
    <w:bookmarkStart w:name="z67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использование отдельно для каждого прививаемого лица стерильного самоблокирующегося или саморазрушающегося шприца, скарификатора, их повторное использование не допускается. Шприцы и иглы с нарушенной целостностью упаковки, с истекшим сроком хранения, с видимыми признаками загрязнения уничтожаются;</w:t>
      </w:r>
    </w:p>
    <w:bookmarkEnd w:id="61"/>
    <w:bookmarkStart w:name="z68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вскрытие упаковки вакцины и шприца производится при прививаемым лице или его законного представителя непосредственно перед вакцинацией; </w:t>
      </w:r>
    </w:p>
    <w:bookmarkEnd w:id="62"/>
    <w:bookmarkStart w:name="z69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использование одноразового стерильного шприца и иглы для разведения каждого флакона ИЛП и удаление иглы из пробки флакона сразу после разведения ИЛП;</w:t>
      </w:r>
    </w:p>
    <w:bookmarkEnd w:id="63"/>
    <w:bookmarkStart w:name="z70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использование полного объема растворителя к ИЛП при разведении, если иное не предусмотрено инструкцией к ИЛП;</w:t>
      </w:r>
    </w:p>
    <w:bookmarkEnd w:id="64"/>
    <w:bookmarkStart w:name="z71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для разведения ИЛП используется растворитель, приложенный к данной вакцине производителем, если иное не предусмотрено инструкцией к ИЛП;</w:t>
      </w:r>
    </w:p>
    <w:bookmarkEnd w:id="65"/>
    <w:bookmarkStart w:name="z72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соблюдение техники введения (вакцина БЦЖ – внутрикожно на границе верхней и средней трети наружной поверхности левого плеча, вакцина против кори, краснухи и паротита – подкожно, оральная полиомиелитная вакцина (далее – ОПВ) – перорально, другие вакцины – внутримышечно, если иное не предусмотрено инструкцией по медицинскому применению ИЛП) и правильный выбор области тела при введении ИЛП (место введения вакцин для детей до 1 года – переднелатеральная область бедра, для детей старше 1 года при достаточной мышечной массе в области дельтовидной мышцы плеча и взрослым – область дельтовидной мышцы плеча). </w:t>
      </w:r>
    </w:p>
    <w:bookmarkEnd w:id="66"/>
    <w:bookmarkStart w:name="z73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необходимости введения двух вакцин в одну конечность вакцины вводятся на расстоянии не менее 3-5 сантиметров друг от друга. При невозможности введения вакцины в рекомендованные места, используется альтернативная область для введения вакцины.</w:t>
      </w:r>
    </w:p>
    <w:bookmarkEnd w:id="67"/>
    <w:bookmarkStart w:name="z74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использование для обработки пробок флакона с ИЛП и обработки области тела, куда вводится ИЛП, отдельных стерильных шариков или одноразовых антисептических салфеток;</w:t>
      </w:r>
    </w:p>
    <w:bookmarkEnd w:id="68"/>
    <w:bookmarkStart w:name="z75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хранение стерильных шариков для обработки области тела в сухом виде, а не в спирте;</w:t>
      </w:r>
    </w:p>
    <w:bookmarkEnd w:id="69"/>
    <w:bookmarkStart w:name="z76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использование одноразовых перчаток;</w:t>
      </w:r>
    </w:p>
    <w:bookmarkEnd w:id="70"/>
    <w:bookmarkStart w:name="z77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обеспечение минимально возможного времени после вскрытия упаковки шприца до введения ИЛП;</w:t>
      </w:r>
    </w:p>
    <w:bookmarkEnd w:id="71"/>
    <w:bookmarkStart w:name="z78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соблюдение рекомендуемого Всемирной организацией здравоохранения правильного положения ребенка во время введения ИЛП;</w:t>
      </w:r>
    </w:p>
    <w:bookmarkEnd w:id="72"/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соблюдение принципа комплексного снабжения прививочных пунктов ИЛП самоблокирующимися и саморазрушающимися и одноразовыми шприцами;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расположение КБСУ на устойчивой поверхности рядом с местом непосредственного проведения инъекции; </w:t>
      </w:r>
    </w:p>
    <w:bookmarkEnd w:id="74"/>
    <w:bookmarkStart w:name="z81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уничтожение в конце рабочего дня флаконов и ампул с остатками ИЛП, использованных для иммунизации населения при выезде прививочными бригадами;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сбор использованных шприцев с иглой в КБСУ немедленно после проведения инъекции, без предварительного промывания, дезинфекции, разбора и деформирования;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18) закрытие клапана КБСУ при его заполнении на три четверти (или до отметки); 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выделение специально отведенного места либо отдельного помещения для временного хранения КБСУ, заполненных использованными шприцами;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20) уничтожение заполненных КБСУ производится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ҚР ДСМ-96/2020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Совмещаются различные виды профилактических прививок в один день, за исключением прививки против туберкулеза. Вакцины вводятся в разные участки тела и разными шприцами.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Вакцинация против туберкулеза в поликлинике проводится в специально выделенные дни согласно графику, утвержденному первым руководителем организации здравоохранения.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ИЛП не вводились в один и тот же день, соблюдается интервал между введениями живых вакцин не менее четырех недель. Интервал между введениями живой и инактивированной вакцинами, а также между разными инактивированными вакцинами не соблюдается.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20. Недоношенные дети (рожденные до 33 недели гестации), с учетом противопоказаний к вакцинации и массы тела при рождении, получают профилактические прививки в сроки,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, с использованием рекомендованных доз вакцин.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С целью профилактики перинатальной передачи от матери с положительным результатом исследования на вирусный гепатит В (далее – ВГВ), вакцинация против ВГВ детей проводится в первые двенадцать часов жизни, когда польза от вакцинации превышает риск.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22. Интервалы между дозами вакцины соблюдаются в соответствии с инструкцией, прилагаемой к вакцине и другим ИЛП, если иное не предусмотрено в соответствии со сроками,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При увеличении интервала между дозами при проведении курса вакцинации, иммунизация продолжается без введения дополнительных доз в соответствии со сроками,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Экстренная профилактика столбняка проводится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 февраля 2021 года № ҚР ДСМ-13 "Об утверждении Санитарных правил "Санитарно-эпидемиологические требования к организации и проведению санитарно-противоэпидемических и санитарно-профилактических мероприятий в отношении больных инфекционными заболеваниями, против которых проводятся профилактические прививки" (зарегистрирован в Реестре государственной регистрации нормативных правовых актов под № 22157).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Профилактические прививки против коронавирусной инфекции (далее – КВИ) и гриппа проводятся по эпидемиологическим показаниям лицам, определенным постановлением Главного государственного санитарного врача Республики Казахстан в зависимости от эпидемиологической ситуации по КВИ и гриппу.</w:t>
      </w:r>
    </w:p>
    <w:bookmarkEnd w:id="88"/>
    <w:bookmarkStart w:name="z95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Вакцинация против КВИ проводится в два этапа, если иное не предусмотрено инструкцией, прилагаемой к вакцине. Ревакцинация против КВИ проводится с интервалом не менее 6 месяцев после последней прививки против КВИ.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Пациенты, получающие иммуносупрессивную терапию и пациенты с иммунодефицитом, прививаются против КВИ после консультации врача для решения вопроса продолжения приема препаратов, угнетающих функцию иммунной системы.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Пациентам с нарушением свертываемости крови (гемофилия) все вакцины вводят подкожно или внутрикожно, детям до года в переднелатеральную область бедра, старше года и взрослым в область дельтовидной мышцы плеча с соблюдением мер предосторожности.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После введения иммуноглобулина или препарата крови введение вакцин против кори, краснухи и паротита откладывается не менее чем на три месяца. Без интервала между введением иммуноглобулинов или препаратов крови вводятся АбКДС-содержащие вакцины, АДС-М, вакцина против туберкулеза, пневмококковой инфекции, ОПВ.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Для иммунизации населения против кори, краснухи и паротита используется комбинированная вакцина против кори, краснухи и паротита (далее – ККП) и моновакцины против кори, краснухи и паротита. Интервал между вакцинацией и ревакцинацией против кори, краснухи и паротита составляет не менее шести месяцев, но не ранее достижения ребенком возраста 6 лет.</w:t>
      </w:r>
    </w:p>
    <w:bookmarkEnd w:id="93"/>
    <w:bookmarkStart w:name="z100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введения вакцин против кори, краснухи, паротита, туберкулеза, ОПВ, соблюдается интервал для введения иммуноглобулина не менее, чем две недели. После введения АбКДС-содержащей вакцины, вакцины против пневмококковой инфекции, АДС-М и введением иммуноглобулина интервал не соблюдается.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Пациенты с нарушением иммунитета получают инактивированные вакцины в стандартные дозах в соответствии со сроками,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Пациентам с любой формой нарушения иммунитета (иммунодефицита) не проводится вакцинация с использованием живых вакцин.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При иммунизации вакциной ОПВ по эпидемиологическим показаниям интервал с ККП не соблюдается.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Первичный курс вакцинации против полиомиелита проводится трехкратно с применением инактивированной вакцины против полиомиелита (далее – ИПВ) в составе комбинированных вакцин.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Детям до 7 лет трехкратный первичный курс вакцинации против полиомиелита проводится с применением ИПВ. В целях профилактики развития вакцино-ассоциированного паралитического полиомиелита детям, не получившим ИПВ, не вводится ОПВ.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Лица, проживающие в одном жилище с пациентами, имеющими иммунодефицит, вакцинируются ОПВ с изоляцией привитого от пациента с иммунодефицитом на срок не менее 30 календарных дней со дня вакцинации.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организованных коллективах, не привитые против полиомиелита дети разобщаются от детей, получивших ОПВ на срок не менее 30 календарных дней со дня вакцинации.</w:t>
      </w:r>
    </w:p>
    <w:bookmarkEnd w:id="101"/>
    <w:bookmarkStart w:name="z108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Пациенты с анатомической и функциональной аспленией защищаются от пневмококковой, менингококковой инфекции и гемофильной инфекции типа В. Вакцинация против указанных инфекций проводится не позднее, чем за 14 дней до плановой спленэктомии. Если вакцинация не проведена до хирургического вмешательства, вакцинацию проводят через 2 недели после операции с учетом стабилизации состояния пациента.</w:t>
      </w:r>
    </w:p>
    <w:bookmarkEnd w:id="102"/>
    <w:bookmarkStart w:name="z109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Допускается совмещение нескольких профилактических прививок в один день за исключением следующих вакцин:</w:t>
      </w:r>
    </w:p>
    <w:bookmarkEnd w:id="103"/>
    <w:bookmarkStart w:name="z110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вакцины против желтой лихорадки с вакциной против холеры и паратифов А и В;</w:t>
      </w:r>
    </w:p>
    <w:bookmarkEnd w:id="104"/>
    <w:bookmarkStart w:name="z111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живой вакцины против брюшного тифа и вакцины против чумы;</w:t>
      </w:r>
    </w:p>
    <w:bookmarkEnd w:id="105"/>
    <w:bookmarkStart w:name="z112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комбинированной вакцины против дифтерии, столбняка, коклюша (бесклеточная), ВГВ, полиомиелита (инактивированная), гемофильной инфекции типа В и вакцины против ветряной оспы.</w:t>
      </w:r>
    </w:p>
    <w:bookmarkEnd w:id="106"/>
    <w:bookmarkStart w:name="z113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Когда польза от вакцинации превышает риск, вакцинация против бешенства и желтой лихорадки проводится по жизненным показаниям.</w:t>
      </w:r>
    </w:p>
    <w:bookmarkEnd w:id="107"/>
    <w:bookmarkStart w:name="z114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Интервалы между дозами вакцины соблюдаются в соответствии с инструкцией, прилагаемой к вакцине и другим ИЛП.</w:t>
      </w:r>
    </w:p>
    <w:bookmarkEnd w:id="108"/>
    <w:bookmarkStart w:name="z115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После получения прививки привитые лица в течение 30 минут находятся в организации здравоохранения или образования под наблюдением медицинского работника, для принятия мер при возникновении НППИ. В последующем медицинским работником обеспечивается наблюдение на дому – в первые три дня после введения инактивированной и на пятый – шестой и десятый – одиннадцатый день после введения живой вакцины с внесением данных о состоянии привитого лица в учетную форму по прививкам и в МИС. Если день наблюдения выпадает на выходные или праздничные дни, медицинский работник информирует родителей привитого или его законного представителя о необходимости обращения за медицинской помощью при НППИ.</w:t>
      </w:r>
    </w:p>
    <w:bookmarkEnd w:id="109"/>
    <w:bookmarkStart w:name="z116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Медицинским работником участка либо прививочного пункта после проведения вакцинации выдается рекомендация по постпрививочному периоду для лиц, получивших профилактическую прививку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Санитарным правилам.</w:t>
      </w:r>
    </w:p>
    <w:bookmarkEnd w:id="110"/>
    <w:bookmarkStart w:name="z117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После введения АбКДС-содержащей вакцины проводится профилактика НППИ с приемом парацетамола или ибупрофена или других препаратов с жаропонижающим и обезболивающим действием, привитому лицу через один час после прививки и в последующем, при наличии клинических показаний каждые шесть часов, но не более четырех раз в сутки в возрастных дозировках в течение одних – трех суток.</w:t>
      </w:r>
    </w:p>
    <w:bookmarkEnd w:id="111"/>
    <w:bookmarkStart w:name="z118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Медицинский работник, получивший вызов к привитому лицу, немедленно обслуживает данный вызов, оказывает неотложную медицинскую помощь и при показаниях госпитализирует его. При подозрении на НППИ медицинский работник немедленно передает экстренное извещение в территориальное подразделение государственного органа в сфере санитарно-эпидемиологического благополучия населения, а также в государственную экспертную организацию в сфере обращения лекарственных средств и медицинских изделий (далее – Экспертная организация) через информационную систему (далее – ИС) в режиме онлайн (портал), либо посредством электронной почты или предоставляются нарочно на бумажном носителе.</w:t>
      </w:r>
    </w:p>
    <w:bookmarkEnd w:id="112"/>
    <w:bookmarkStart w:name="z119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Планирование, организация, проведение профилактических прививок населению, учет населения осуществляется местными органами государственного управления здравоохранением областей, городов республиканского значения и столицы и согласуется с территориальным подразделением государственного органа в сфере санитарно-эпидемиологического благополучия.</w:t>
      </w:r>
    </w:p>
    <w:bookmarkEnd w:id="113"/>
    <w:bookmarkStart w:name="z120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здравоохранения в декабре текущего года составляют помесячные пофамильные планы профилактических прививок на следующий год с ежемесячной корректировкой; местные органы государственного управления здравоохранением областей, городов республиканского значения и столицы ежегодно в марте составляют планы для подготовки заявки на закуп вакцин и в апреле согласуют заявку с государственным органом в сфере санитарно-эпидемиологического благополучия населения.</w:t>
      </w:r>
    </w:p>
    <w:bookmarkEnd w:id="114"/>
    <w:bookmarkStart w:name="z121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организации здравоохранения, организации (подразделения) других государственных органов, проводящие профилактические прививки детям, подросткам и взрослым, организуют проведение профилактических прививок и ежемесячно сдают отчеты в соответствии с формами отчетной документации в области здравоохранения,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22 декабря 2020 года № ҚР ДСМ-313/2020 "Об утверждении форм отчетной документации в области здравоохранения" (зарегистрирован в Реестре государственной регистрации нормативных правовых актов под № 21879).</w:t>
      </w:r>
    </w:p>
    <w:bookmarkEnd w:id="115"/>
    <w:bookmarkStart w:name="z122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44. Сведения о профилактических прививках и НППИ вносятся в медицинскую информационную систему и учетные формы, утвержденные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30 октября 2020 года № ҚР ДСМ-175/2020 "Об утверждении форм учетной документации в области здравоохранения, а также инструкций по их заполнению" (зарегистрирован в Реестре государственной регистрации нормативных правовых актов под № 21579) и хранятся по месту проведения профилактических прививок.</w:t>
      </w:r>
    </w:p>
    <w:bookmarkEnd w:id="116"/>
    <w:bookmarkStart w:name="z123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При составлении годового плана профилактических прививок предусматривается объем запаса вакцин и других ИЛП на 1 квартал следующего года.</w:t>
      </w:r>
    </w:p>
    <w:bookmarkEnd w:id="117"/>
    <w:bookmarkStart w:name="z124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3. Требования к вакцинации лиц с нарушением сроков проведения профилактических прививок и наверстывающей вакцинации</w:t>
      </w:r>
    </w:p>
    <w:bookmarkEnd w:id="118"/>
    <w:bookmarkStart w:name="z125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При проведении наверстывающей вакцинации против пневмококковой инфекции, между первой и второй дозами соблюдается интервал не менее 1 месяца, между второй и третьей дозами – не менее 2 месяцев.</w:t>
      </w:r>
    </w:p>
    <w:bookmarkEnd w:id="119"/>
    <w:bookmarkStart w:name="z126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Наверстывающая вакцинация против пневмококковой инфекции проводится следующим образом:</w:t>
      </w:r>
    </w:p>
    <w:bookmarkEnd w:id="120"/>
    <w:bookmarkStart w:name="z127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ранее непривитые дети в возрасте: </w:t>
      </w:r>
    </w:p>
    <w:bookmarkEnd w:id="121"/>
    <w:bookmarkStart w:name="z128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до 11 месяцев получают две дозы с интервалом один месяц, третья доза вводится на втором году жизни с интервалом не менее 2 месяцев после второй дозы;</w:t>
      </w:r>
    </w:p>
    <w:bookmarkEnd w:id="122"/>
    <w:bookmarkStart w:name="z129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12 до 23 месяцев получают две дозы с интервалом два месяца, третья доза не вводится;</w:t>
      </w:r>
    </w:p>
    <w:bookmarkEnd w:id="123"/>
    <w:bookmarkStart w:name="z130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до 5 лет получают одну дозу.</w:t>
      </w:r>
    </w:p>
    <w:bookmarkEnd w:id="124"/>
    <w:bookmarkStart w:name="z131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ранее привитые дети, имеющие одну дозу: </w:t>
      </w:r>
    </w:p>
    <w:bookmarkEnd w:id="125"/>
    <w:bookmarkStart w:name="z132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7 до 11 месяцев получают последующие две дозы с интервалом два месяца, третья доза вводится до 15 месяцев жизни;</w:t>
      </w:r>
    </w:p>
    <w:bookmarkEnd w:id="126"/>
    <w:bookmarkStart w:name="z133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12 до 23 месяцев, при вакцинации до достижения 1 года, получают две дозы с интервалом два месяца, при вакцинации в возрасте старше 1 года, получают 1 дозу;</w:t>
      </w:r>
    </w:p>
    <w:bookmarkEnd w:id="127"/>
    <w:bookmarkStart w:name="z134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2 до 5 лет, если предшествующая доза вводилась в возрасте до 2 лет, то вводится одна доза с интервалом два месяца; если предшествующая доза введена в возрасте старше 2 лет, то введение дополнительных доз не требуется; </w:t>
      </w:r>
    </w:p>
    <w:bookmarkEnd w:id="128"/>
    <w:bookmarkStart w:name="z135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ранее привитые дети, имеющие две дозы:</w:t>
      </w:r>
    </w:p>
    <w:bookmarkEnd w:id="129"/>
    <w:bookmarkStart w:name="z136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до 23 месяцев, при получении предшествующих доз в возрасте до 1 года, вводится третья доза с интервалом два месяца после второй; </w:t>
      </w:r>
    </w:p>
    <w:bookmarkEnd w:id="130"/>
    <w:bookmarkStart w:name="z137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от 12 до 23 месяцев, при получении предшествующих доз в возрасте старше 1 года, введение дополнительных доз не требуется; </w:t>
      </w:r>
    </w:p>
    <w:bookmarkEnd w:id="131"/>
    <w:bookmarkStart w:name="z138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2 до 5 лет, если предшествующие дозы введены в возрасте до 2 лет, то вводится одна доза с интервалом два месяца; если предшествующие дозы введены в возрасте старше 2 лет, то введение дополнительных доз не требуется.</w:t>
      </w:r>
    </w:p>
    <w:bookmarkEnd w:id="132"/>
    <w:bookmarkStart w:name="z139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47. Лица, не привитые против ВГВ в соответствии со сроками,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, прививаются по следующей схеме:</w:t>
      </w:r>
    </w:p>
    <w:bookmarkEnd w:id="133"/>
    <w:bookmarkStart w:name="z140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дети до 6 лет, не вакцинированные при рождении – 0-2-4 с интервалами между прививками – два месяца. Если дети до 6 лет не вакцинированы против ВГВ при рождении, допускается завершение курса вакцинации против данной инфекции моновакциной против ВГВ;</w:t>
      </w:r>
    </w:p>
    <w:bookmarkEnd w:id="134"/>
    <w:bookmarkStart w:name="z141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ранее не вакцинированные дети старше 6 лет и взрослые – 0-1-6 с интервалами между первой и второй прививками – один месяц, между второй и третьей – пять месяцев;</w:t>
      </w:r>
    </w:p>
    <w:bookmarkEnd w:id="135"/>
    <w:bookmarkStart w:name="z142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вакцинация против ВГВ лиц старше 15 лет проводится после предварительной маркерной диагностики на ВГВ. Лица с положительным результатом исследования на ВГВ к вакцинации не допускаются. </w:t>
      </w:r>
    </w:p>
    <w:bookmarkEnd w:id="136"/>
    <w:bookmarkStart w:name="z143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48. Вакцинация против дифтерии, столбняка и коклюша проводится АбКДС-содержащими вакцинами, а также АДС-М.</w:t>
      </w:r>
    </w:p>
    <w:bookmarkEnd w:id="137"/>
    <w:bookmarkStart w:name="z144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49. Ранее не привитые дети:</w:t>
      </w:r>
    </w:p>
    <w:bookmarkEnd w:id="138"/>
    <w:bookmarkStart w:name="z145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 4 до 7 лет прививаются комбинированными АбКДС-содержащими вакцинами с дифтерийным анатоксином по схеме: 3 прививки с интервалом 2 месяца, и четвертая прививка через 6-12 месяцев;</w:t>
      </w:r>
    </w:p>
    <w:bookmarkEnd w:id="139"/>
    <w:bookmarkStart w:name="z146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7 лет и старше, взрослые прививаются по схеме: две прививки АбКДС с уменьшенным содержанием дифтерийного анатоксина с интервалом 1 месяц и третья прививка через 6-12 месяцев.</w:t>
      </w:r>
    </w:p>
    <w:bookmarkEnd w:id="140"/>
    <w:bookmarkStart w:name="z147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АбКДС-содержащие комбинированные вакцины с дифтерийным анатоксином применяются у детей до 7 лет, АбКДС-содержащие вакцины с уменьшенным содержанием дифтерийного анатоксина – у детей с 4 лет, АДС-М – у детей с 7 лет и взрослых.</w:t>
      </w:r>
    </w:p>
    <w:bookmarkEnd w:id="141"/>
    <w:bookmarkStart w:name="z148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50. При наличии противопоказаний к коклюшному компоненту вакцинация проводится АДС-М для детей старше 7 лет:</w:t>
      </w:r>
    </w:p>
    <w:bookmarkEnd w:id="142"/>
    <w:bookmarkStart w:name="z149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если реакция развилась на первую вакцинацию АбКДС-содержащей вакциной, то вторую прививку осуществляют АДС-М не ранее чем через 3 месяца;</w:t>
      </w:r>
    </w:p>
    <w:bookmarkEnd w:id="143"/>
    <w:bookmarkStart w:name="z150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если реакция развилась на вторую вакцинацию АбКДС-содержащей вакциной, то курс вакцинации против дифтерии и столбняка считают законченным. В обоих случаях первую ревакцинацию АДС-М проводят через 12 месяцев;</w:t>
      </w:r>
    </w:p>
    <w:bookmarkEnd w:id="144"/>
    <w:bookmarkStart w:name="z151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если реакция развилась на третью вакцинацию АбКДС-содержащей вакциной, первую ревакцинацию АДС-М проводят через 12-18 месяцев.</w:t>
      </w:r>
    </w:p>
    <w:bookmarkEnd w:id="145"/>
    <w:bookmarkStart w:name="z152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51. Если ребенок не получил вторую дозу АбКДС-содержащей вакцины, то курс вакцинации продолжается с соблюдением чередования видов АбКДС-содержащих вакцин в соответствии со сроками,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 № 612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46"/>
    <w:bookmarkStart w:name="z153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52. При позднем завершении первичного вакцинального комплекса АбКДС-содержащими вакцинами, первая ревакцинация проводится с интервалом не менее чем через один год.</w:t>
      </w:r>
    </w:p>
    <w:bookmarkEnd w:id="147"/>
    <w:bookmarkStart w:name="z154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53. Комбинированные АбКДС-содержащие вакцины с повышенным содержанием дифтерийного анатоксина, детям старше 7 лет не применяются.</w:t>
      </w:r>
    </w:p>
    <w:bookmarkEnd w:id="148"/>
    <w:bookmarkStart w:name="z155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54. Дети, не получившие вакцинацию против туберкулеза при рождении (1-4 день жизни) прививаются в организациях здравоохранения, оказывающих амбулаторно-поликлиническую помощь по месту жительства: в возрасте до 2 месяцев без постановки пробы Манту, в возрасте 2 месяца и старше – после постановки пробы Манту с отрицательным результатом исследования. Детям, не получившим вакцинацию против туберкулеза при рождении, вакцинация против данной инфекции проводится до 15 лет. Интервал между пробой Манту вакцинацией вакциной БЦЖ – не менее трех дней и не более двух недель. Перед постановкой пробы Манту соблюдается интервал 2 месяца от других вакцин.</w:t>
      </w:r>
    </w:p>
    <w:bookmarkEnd w:id="149"/>
    <w:bookmarkStart w:name="z156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55. Девочки в возрасте до 15 лет, пропустившие плановую профилактическую прививку против вируса папилломы человека в 11 лет, прививаются по графику в соответствии с инструкцией по медицинскому применению вакцины и постановлением Главного государственного санитарного врача Республики Казахстан. Вакцинация проводится в прививочных пунктах организаций образования и организаций здравоохранения, оказывающих амбулаторно-поликлиническую помощь по месту жительства.</w:t>
      </w:r>
    </w:p>
    <w:bookmarkEnd w:id="150"/>
    <w:bookmarkStart w:name="z157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56. С целью определения групп высокого риска среди населения по вакциноуправляемым инфекциям и при наличии диагностических препаратов проводится изучение напряженности иммунитета к вакциноуправляемым инфекциям.</w:t>
      </w:r>
    </w:p>
    <w:bookmarkEnd w:id="151"/>
    <w:bookmarkStart w:name="z158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57. При выявлении неиммунных лиц (с отрицательным результатом исследования и низким титром антител на напряженность иммунитета) к кори, краснухи, эпидемическому паротиту, полиомиелиту, дифтерии, столбняку и коклюшу проводится их дополнительная однократная вакцинация.</w:t>
      </w:r>
    </w:p>
    <w:bookmarkEnd w:id="152"/>
    <w:bookmarkStart w:name="z159" w:id="1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4. Порядок организации и проведения профилактической прививки лицам, живущим с вирусом иммунодефицита человека (далее – ВИЧ-инфекция)</w:t>
      </w:r>
    </w:p>
    <w:bookmarkEnd w:id="153"/>
    <w:bookmarkStart w:name="z160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58. Основные принципы проведения профилактической прививки лицам, живущим с ВИЧ-инфекцией (далее – ЛЖВ):</w:t>
      </w:r>
    </w:p>
    <w:bookmarkEnd w:id="154"/>
    <w:bookmarkStart w:name="z161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 прививки лиц с диагнозом ВИЧ-инфекция и детей, рожденных от ВИЧ-инфицированной матери, проводится после консультации специалиста субъекта здравоохранения, осуществляющих деятельность в сфере профилактики ВИЧ-инфекции;</w:t>
      </w:r>
    </w:p>
    <w:bookmarkEnd w:id="155"/>
    <w:bookmarkStart w:name="z162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инактивированные вакцины не представляют опасности для людей с нарушениями иммунной системы и применяются на тех же принципах, что и для здоровых людей;</w:t>
      </w:r>
    </w:p>
    <w:bookmarkEnd w:id="156"/>
    <w:bookmarkStart w:name="z163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живые вакцины противопоказаны ВИЧ-инфицированным со среднетяжелой и тяжелой иммуносупрессией, включая пациентов с клиническим проявлением ВИЧ-инфекции;</w:t>
      </w:r>
    </w:p>
    <w:bookmarkEnd w:id="157"/>
    <w:bookmarkStart w:name="z164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 ЛЖВ, не имеющих или имеющих слабовыраженные признаки иммуносупрессии, вакцинация живыми вакцинами, проводится так же как у неинфицированных ВИЧ-инфекцией.</w:t>
      </w:r>
    </w:p>
    <w:bookmarkEnd w:id="158"/>
    <w:bookmarkStart w:name="z165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59. Вакцинация против туберкулеза ЛЖВ:</w:t>
      </w:r>
    </w:p>
    <w:bookmarkEnd w:id="159"/>
    <w:bookmarkStart w:name="z166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новорожденные, родившиеся от ВИЧ-инфицированных матерей, при отсутствии клинических признаков ВИЧ-инфекции и других противопоказаний к введению данной вакцины, прививаются однократно; не привитые в родильных отделениях в утвержденные сроки, прививаются в течение 4-х недель жизни; по истечении четвертой недели введение БЦЖ не допускается из-за риска развития генерализованной БЦЖ-инфекции;</w:t>
      </w:r>
    </w:p>
    <w:bookmarkEnd w:id="160"/>
    <w:bookmarkStart w:name="z167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 проводится вакцинация БЦЖ детям, не привитым в календарные сроки и с неразвившимся поствакцинальным знаком до окончательного заключения о наличии инфицированности ВИЧ-инфекцией.</w:t>
      </w:r>
    </w:p>
    <w:bookmarkEnd w:id="161"/>
    <w:bookmarkStart w:name="z168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60. Вакцинация ЛЖВ против кори, краснухи и паротита:</w:t>
      </w:r>
    </w:p>
    <w:bookmarkEnd w:id="162"/>
    <w:bookmarkStart w:name="z169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угрозе распространения кори, допускается однократно привить против кори детей в возрасте 6-11 месяцев. Затем, в возрасте 12-15 месяцев проводится плановая иммунизация против кори (интервал между введением вакцин составляет не менее 1 месяца).</w:t>
      </w:r>
    </w:p>
    <w:bookmarkEnd w:id="163"/>
    <w:bookmarkStart w:name="z170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61. Вакцинация против полиомиелита ЛЖВ проводится ИПВ. ОПВ нельзя вводить ЛЖВ независимо от степени иммунодефицита, а также членам их семей и лицам, близко контактирующим с ними.</w:t>
      </w:r>
    </w:p>
    <w:bookmarkEnd w:id="164"/>
    <w:bookmarkStart w:name="z171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62. Вакцинация ЛЖВ против брюшного тифа:</w:t>
      </w:r>
    </w:p>
    <w:bookmarkEnd w:id="165"/>
    <w:bookmarkStart w:name="z172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живую брюшнотифозную вакцину нельзя назначать ЛЖВ вне зависимости от выраженности иммунодефицита.</w:t>
      </w:r>
    </w:p>
    <w:bookmarkEnd w:id="166"/>
    <w:bookmarkStart w:name="z173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63. Вакцинация ЛЖВ против желтой лихорадки:</w:t>
      </w:r>
    </w:p>
    <w:bookmarkEnd w:id="167"/>
    <w:bookmarkStart w:name="z174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проводится независимо от клинической стадии и тяжести иммунодефицита, если польза от вакцинации превышает риск.</w:t>
      </w:r>
    </w:p>
    <w:bookmarkEnd w:id="168"/>
    <w:bookmarkStart w:name="z175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64. Иммунизация ЛЖВ инактивированными комбинированными вакцинами проводится:</w:t>
      </w:r>
    </w:p>
    <w:bookmarkEnd w:id="169"/>
    <w:bookmarkStart w:name="z176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АбКДС-содержащими вакцинами и вакцинами против пневмококковой инфекции, вируса папилломы человека в установленные сроки и в рекомендуемых дозах, независимо от клинической стадии и иммунного статуса;</w:t>
      </w:r>
    </w:p>
    <w:bookmarkEnd w:id="170"/>
    <w:bookmarkStart w:name="z177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комбинированной вакциной с компонентом против гемофильной инфекции типа В для детей до 5 лет с оценкой риска данной инфекции и преимуществ иммунизации;</w:t>
      </w:r>
    </w:p>
    <w:bookmarkEnd w:id="171"/>
    <w:bookmarkStart w:name="z178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против вирусного гепатита А лицам, имеющим высокий риск заражения вирусным гепатитом А, независимо от наличия у них ВИЧ-инфекции и иммунодефицита;</w:t>
      </w:r>
    </w:p>
    <w:bookmarkEnd w:id="172"/>
    <w:bookmarkStart w:name="z179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против ВГВ ЛЖВ, у которых отсутствуют серологические маркеры ВГВ. Схему вакцинации применяют в соответствии с содержанием CD4 лимфоцитов:</w:t>
      </w:r>
    </w:p>
    <w:bookmarkEnd w:id="173"/>
    <w:bookmarkStart w:name="z180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если число лимфоцитов СD4 более 500 на микролитр (далее – мкл), вакцинацию проводят стандартной дозой – 20 микрограммов (далее – мкг) для взрослых, 10 мкг для детей; вакцину вводят в сроки 0,1 и 6 месяцев; </w:t>
      </w:r>
    </w:p>
    <w:bookmarkEnd w:id="174"/>
    <w:bookmarkStart w:name="z181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число лимфоцитов СD4 200-500 на мкл, вакцинацию проводят по интенсивной схеме (20 мкг) в сроки 0, 1, 2 и 12 месяцев;</w:t>
      </w:r>
    </w:p>
    <w:bookmarkEnd w:id="175"/>
    <w:bookmarkStart w:name="z182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не ответившим на первый курс вакцинации, вводят дополнительные дозы вакцины или проводят полный курс вакцинации, используя дозу 40 мкг;</w:t>
      </w:r>
    </w:p>
    <w:bookmarkEnd w:id="176"/>
    <w:bookmarkStart w:name="z183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число лимфоцитов СD4 менее 200 на мкл и ЛЖВ не получает антиретровирусную терапию (далее – АРТ), сначала проводят АРТ. Вакцинацию откладывают до восстановления числа лимфоцитов СD4 более 200 на мкл;</w:t>
      </w:r>
    </w:p>
    <w:bookmarkEnd w:id="177"/>
    <w:bookmarkStart w:name="z184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инактивированными вакцинами против гриппа до начала эпидемического сезона;</w:t>
      </w:r>
    </w:p>
    <w:bookmarkEnd w:id="178"/>
    <w:bookmarkStart w:name="z185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против менингококковой инфекции проводят лицам, планирующим поездку в страны, эндемичные по менингококковой инфекции, независимо от их ВИЧ-статуса;</w:t>
      </w:r>
    </w:p>
    <w:bookmarkEnd w:id="179"/>
    <w:bookmarkStart w:name="z186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против бешенства по жизненным показаниям (не противопоказана, если польза от вакцинации превышает риск).</w:t>
      </w:r>
    </w:p>
    <w:bookmarkEnd w:id="180"/>
    <w:bookmarkStart w:name="z187" w:id="18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5. Порядок проведения профилактической прививки лицам после аутологичной и аллогенной трансплантации гемопоэтических стволовых клеток и трансплантации солидных органов</w:t>
      </w:r>
    </w:p>
    <w:bookmarkEnd w:id="181"/>
    <w:bookmarkStart w:name="z188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65. Вакцинация лиц после аутологичной и аллогенной трансплантации гемопоэтических стволовых клеток (далее – ТГСК), трансплантации солидных органов проводится после консультации врача-гематолога, трансплантолога, инфекциониста и врача общей практики.</w:t>
      </w:r>
    </w:p>
    <w:bookmarkEnd w:id="182"/>
    <w:bookmarkStart w:name="z189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66. Сроки начала вакцинации определяются индивидуально по достижении минимальной иммунореконституции, однако не ранее 6 месяцев после ТГСК. Сроки начала вакцинации после ТГСК:</w:t>
      </w:r>
    </w:p>
    <w:bookmarkEnd w:id="183"/>
    <w:bookmarkStart w:name="z190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инактивированными вакцинами через 6-12 месяцев после ТГСК при удовлетворительной иммунореконституции (количество CD4+ ≥ 200/мкл, количество В лимфоцитов ≥ 50/мкл);</w:t>
      </w:r>
    </w:p>
    <w:bookmarkEnd w:id="184"/>
    <w:bookmarkStart w:name="z191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живыми вакцинами через 24 месяцев после ТГСК при удовлетворительной иммунореконституции (количество CD4+ ≥ 200/мкл, количество В лимфоцитов ≥ 50/мкл), при условии отсутствия хронической реакции "трансплантат против хозяина" (далее – РТПХ), иммуносупрессивной терапии.</w:t>
      </w:r>
    </w:p>
    <w:bookmarkEnd w:id="185"/>
    <w:bookmarkStart w:name="z192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67. Вакцинация против пневмококковой инфекции проводится через 4–6 месяцев после ТГСК, после чего проводится 2 повторные вакцинации с интервалом в 1 месяц, затем четвертая прививка через 6 месяцев после предыдущей дозы.</w:t>
      </w:r>
    </w:p>
    <w:bookmarkEnd w:id="186"/>
    <w:bookmarkStart w:name="z193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68. Вакцинация против дифтерии, столбняка и коклюша проводится АбКДС-содержащими вакцинами трехкратно с введением бустерной дозы независимо от возраста пациента.</w:t>
      </w:r>
    </w:p>
    <w:bookmarkEnd w:id="187"/>
    <w:bookmarkStart w:name="z194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69. Вакцинация против гриппа рекомендована всем пациентам после ТГСК. Если вакцина вводится раньше, чем через 6 месяцев после ТГСК, независимо от интенсивности кондиционирования, рекомендовано введение 2 доз. Детям в возрасте до 9 лет, впервые получающим вакцинацию, вводится 2 дозы с интервалом 1 месяц. Живая противогриппозная вакцина не рекомендована к применению у пациентам после ТГСК.</w:t>
      </w:r>
    </w:p>
    <w:bookmarkEnd w:id="188"/>
    <w:bookmarkStart w:name="z195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70. Вакцинация против ВГВ проводится трехкратно в соответствии с пунктом 47 настоящих Санитарных правил.</w:t>
      </w:r>
    </w:p>
    <w:bookmarkEnd w:id="189"/>
    <w:bookmarkStart w:name="z196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71. Вакцинация против кори, краснухи, эпидемического паротита и ветряной оспы проводится не ранее двух лет после ТГСК, при отсутствии хронического РТПХ, иммуносупрессивной терапии, у взрослых – при наличии серонегативного результата поствакцинальных антител к ветряной оспе.</w:t>
      </w:r>
    </w:p>
    <w:bookmarkEnd w:id="190"/>
    <w:bookmarkStart w:name="z197" w:id="1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72. Вакцинация против вируса папилломы человека проводится после 12-24 месяца после ТГСК в соответствии с инструкцией по медицинскому применению лекарственного средства.</w:t>
      </w:r>
    </w:p>
    <w:bookmarkEnd w:id="191"/>
    <w:bookmarkStart w:name="z198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73. Клинические признаки активации РТПХ или отсутствие ответа на иммуносупрессивную терапию РТПХ являются противопоказаниями для вакцинации пациентов с ТГСК.</w:t>
      </w:r>
    </w:p>
    <w:bookmarkEnd w:id="192"/>
    <w:bookmarkStart w:name="z199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74. Вакцинация пациентов после трансплантации солидных органов живыми вакцинами следует завершить не позднее 4 недель до операции и убедиться в сероконверсии. В посттрасплантационном периоде противопоказаны живые вакцины. Пациентам, не завершившие вакцинацию до трансплантации, вакцинация инактивированными вакцинами возобновляется не ранее, чем через 6 месяцев после операции. Бустерные дозы инактивированных вакцин следует вводить в соответствии с календарем, когда уровень защитных антител падает, начиная с 6 месяцев после трансплантации.</w:t>
      </w:r>
    </w:p>
    <w:bookmarkEnd w:id="19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населению"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2" w:id="1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Учет временных, длительных и постоянных медицинских противопоказаний к проведению профилактических прививок</w:t>
      </w:r>
    </w:p>
    <w:bookmarkEnd w:id="19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регистрации мед. противопоказаний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ФИО (при его наличии) пациента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рождения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идентификационный номер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Домашний адрес, телефон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bookmarkStart w:name="z203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(продолжение таблицы)</w:t>
      </w:r>
    </w:p>
    <w:bookmarkEnd w:id="19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757"/>
        <w:gridCol w:w="1757"/>
        <w:gridCol w:w="1757"/>
        <w:gridCol w:w="1757"/>
        <w:gridCol w:w="1757"/>
        <w:gridCol w:w="1757"/>
        <w:gridCol w:w="1758"/>
      </w:tblGrid>
      <w:tr>
        <w:trPr>
          <w:trHeight w:val="30" w:hRule="atLeast"/>
        </w:trPr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работы/учебы/организован/не организован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Медицинские противопоказвния от вакцинации/ против какой инфекции (указать)</w:t>
            </w:r>
          </w:p>
        </w:tc>
        <w:tc>
          <w:tcPr>
            <w:tcW w:w="17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Обоснование медицинского противопоказания/Диагноз заболевания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Сроки медицинских противопоказании от проведения профилактических прививок с указанием даты</w:t>
            </w:r>
          </w:p>
        </w:tc>
        <w:tc>
          <w:tcPr>
            <w:tcW w:w="175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Кем оформлен медицинские противопоказания от вакцинации (ФИО (при его наличии) врача, членов врачебной комиссии)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временный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длительный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постоянный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</w:tr>
      <w:tr>
        <w:trPr>
          <w:trHeight w:val="30" w:hRule="atLeast"/>
        </w:trPr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7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населению"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06" w:id="19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Информированное согласие на проведение профилактических прививок</w:t>
      </w:r>
    </w:p>
    <w:bookmarkEnd w:id="196"/>
    <w:p>
      <w:pPr>
        <w:spacing w:after="0"/>
        <w:ind w:left="0"/>
        <w:jc w:val="both"/>
      </w:pPr>
      <w:bookmarkStart w:name="z207" w:id="197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</w:t>
      </w:r>
    </w:p>
    <w:bookmarkEnd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 прививаемого лица или родителя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(законного представителя) несовершеннолетнего)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Даю согласие на получение профилактической прививки: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вакцины или других иммунологических лекарственных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(иммунобиологических лекарственных препаратов))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наличии), дата рождения лица, которому вводится вакцина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или другие иммунологические лекарственные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(иммунобиологические лекарственные препараты))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подтверждаю, что проинформирован (а) о важности проведения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профилактической прививки, возможных реакциях и неблагоприятных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проявлениях на вакцину, необходимости своевременного обращения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организацию здравоохранения при развитии любых неблагоприятных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проявлений после иммунизации, вызывающих беспокойство,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 также о последствиях отказа от профилактических прививок.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(прививаемого лица или родителя (законного представителя) несовершеннолетнего)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населению"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0" w:id="1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Информированный отказ от проведения профилактических прививок</w:t>
      </w:r>
    </w:p>
    <w:bookmarkEnd w:id="198"/>
    <w:p>
      <w:pPr>
        <w:spacing w:after="0"/>
        <w:ind w:left="0"/>
        <w:jc w:val="both"/>
      </w:pPr>
      <w:bookmarkStart w:name="z211" w:id="199"/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_______________________________________________________________________</w:t>
      </w:r>
    </w:p>
    <w:bookmarkEnd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 (при его наличии) прививаемого лица или родителя (законного представителя)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несовершеннолетнего)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Отказываюсь от получения профилактической прививки: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(наименование вакцины или других иммунологических лекарственных препаратов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(иммунобиологических лекарственных препаратов))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(ФИО, дата рождения лица, которому рекомендована вакцина или другие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иммунологические лекарственные препараты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(иммунобиологические лекарственные препараты))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подтверждаю, что проинформирован (а) о важности проведения профилактической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прививки и последствиях отказа от профилактических прививок.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Причины отказа (отметить):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1) религиозные;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2) личные убеждения;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3) негативная информация в средствах массовой информации,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социальных сетях и других интернет ресурсах;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4) побочная реакция на предыдущую дозу вакцины или другие иммунологические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лекарственные препараты (иммунобиологические лекарственные препараты);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5) другие (указать) _______________________________________.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Дата "____" _____________ 20___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Подпись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(прививаемого лица или родителя (законного представителя) несовершеннолетнего)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населению"</w:t>
            </w:r>
          </w:p>
        </w:tc>
      </w:tr>
    </w:tbl>
    <w:bookmarkStart w:name="z213" w:id="20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Вопросник для медицинских работников по опросу прививаемого лица или его родителей, или иных законных представителей несовершеннолетних и граждан, признанных недееспособными в порядке, установленном гражданским законодательством Республики Казахстан перед проведением профилактической прививки</w:t>
      </w:r>
    </w:p>
    <w:bookmarkEnd w:id="20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 и (или) нет</w:t>
            </w: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вопросы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Общее состояние прививающегося лица (ребенка)? Наличие острого заболевания?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аллергии на какие-либо лекарства, продукты питания или вакцины?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серьезные реакции на введение какой-либо вакцины в прошлом?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Наблюдались ли судороги или патологии головного мозга и нервной системы?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Состоит ли прививающееся лицо (ребенок) на диспансерном учете?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астмы, заболеваний легких, сердца, почек, метаболических заболеваний (диабет)?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Переболел ли коронавирусной инфекцией? Когда?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контакта с инфекционным больным, в том числе с больным коронавирусной инфекцией, в течение последних 14 дней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Дополнительные вопросы для детей в соответствии с возрастом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Были ли проведены диагностические мероприятия по выявлению расстройств аутистического спектра?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Реагирует ли ребенок на прикосновения и объятия?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Смотрит ли ребенок в ту же сторону, что и родитель (лицо, ухаживающее за ребенком), когда он пытается привлечь внимание ребенка к чему-то интересному? ("указательный жест")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Смотрит ли ребенок Вам в глаза, когда вы с ним общаетесь? Поддерживает ли ребенок зрительный контакт?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Ждет ли поощрения? Выражает ли ребенок впечатления от совместной игры, от новых игрушек?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Проявляет ли ребенок интерес к игрушкам? Интересна ли совместная игра с другими детьми, стремится ли ребенок к совместной игре с другими? Играет ли он с игрушками, имитируя действия взрослых?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для живых вакцин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онкологического заболевания?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ВИЧ-инфекции, каких-либо других проблем со стороны иммунной системы?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Лечение в последние 3 месяца кортизоном, преднизолоном и другими стероидами, противоопухолевыми препаратами, прохождение лучевой терапии?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иммунизации за последние 4 недели?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лиц женского пола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Наличие беременности или вероятность наступления беременности в течение следующего месяца?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Нахождение в периоде грудного вскармливания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Дополнительные сведения, которые по мнению врача являются необходимыми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Санитарным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"Санитарно-эпидемиологические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требования к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проведению профилактических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прививок населению"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216" w:id="20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Рекомендация по постпрививочному периоду для лиц, получивших профилактическую прививку</w:t>
      </w:r>
    </w:p>
    <w:bookmarkEnd w:id="201"/>
    <w:p>
      <w:pPr>
        <w:spacing w:after="0"/>
        <w:ind w:left="0"/>
        <w:jc w:val="both"/>
      </w:pPr>
      <w:bookmarkStart w:name="z217" w:id="202"/>
      <w:r>
        <w:rPr>
          <w:rFonts w:ascii="Times New Roman"/>
          <w:b w:val="false"/>
          <w:i w:val="false"/>
          <w:color w:val="000000"/>
          <w:sz w:val="28"/>
        </w:rPr>
        <w:t>
      Полученные профилактические прививки:</w:t>
      </w:r>
    </w:p>
    <w:bookmarkEnd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(указать наименование вакцин)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Возможные побочные действия: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 вакцинации инактивированными вакцинами в первые 3 суток могут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развиваться кратковременные общие (непродолжительный гриппоподобный синдром,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характеризующийся ознобом, повышением температуры тела, общим недомоганием,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головной болью, утомляемостью) и местные (болезненность, покраснение, отечность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 месте инъекции) реакции. Реже отмечаются тошнота, диспепсия, снижение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аппетита, иногда – увеличение регионарных лимфоузлов, боли в суставах и мышцах.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Возможно развитие аллергических реакций, невралгии, неврологических расстройств.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Эти проявления носят временный характер и чаще всего проходят в течение 3-х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последующих дней после вакцинации.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Рекомендуется: в течение 3-х дней после вакцинации не посещать сауну, баню,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не принимать алкоголь, не растирать в месте введения вакцины, избегать чрезмерных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физических нагрузок. Для детей также не рекомендуется введение прикорма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 изменение пищевых привычек (новые продукты питания, цитрусовые, мед и орехи).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 покраснении, отечности, болезненности места вакцинации рекомендуется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принять антигистаминные средства, при повышении температуры тела после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вакцинации – нестероидные противовоспалительные средства.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 возникшим вопросам касательно поствакцинального периода рекомендуется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обратиться к участковому врачу по месту прикрепления по телефонам: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 и, при необходимости, вызвать скорую медицинскую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помощь (103 или ______________).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