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711c" w14:textId="4f37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technical regulation "Biodiesel Safety Requirements"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116 dated February 10, 2011. Abolished by the Decree of the Government of the Republic of Kazakhstan dated March 31, 2021 No. 189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March 31, 2021 No. 189</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the </w:t>
      </w:r>
      <w:r>
        <w:rPr>
          <w:rFonts w:ascii="Times New Roman"/>
          <w:b w:val="false"/>
          <w:i w:val="false"/>
          <w:color w:val="000000"/>
          <w:sz w:val="28"/>
        </w:rPr>
        <w:t>Law of the</w:t>
      </w:r>
      <w:r>
        <w:rPr>
          <w:rFonts w:ascii="Times New Roman"/>
          <w:b w:val="false"/>
          <w:i w:val="false"/>
          <w:color w:val="000000"/>
          <w:sz w:val="28"/>
        </w:rPr>
        <w:t xml:space="preserve"> Republic of Kazakhstan dated November 9, 2004 "On Technical Regulation",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That the attached </w:t>
      </w:r>
      <w:r>
        <w:rPr>
          <w:rFonts w:ascii="Times New Roman"/>
          <w:b w:val="false"/>
          <w:i w:val="false"/>
          <w:color w:val="000000"/>
          <w:sz w:val="28"/>
        </w:rPr>
        <w:t xml:space="preserve">technical </w:t>
      </w:r>
      <w:r>
        <w:rPr>
          <w:rFonts w:ascii="Times New Roman"/>
          <w:b w:val="false"/>
          <w:i w:val="false"/>
          <w:color w:val="000000"/>
          <w:sz w:val="28"/>
        </w:rPr>
        <w:t>regulation</w:t>
      </w:r>
      <w:r>
        <w:rPr>
          <w:rFonts w:ascii="Times New Roman"/>
          <w:b w:val="false"/>
          <w:i w:val="false"/>
          <w:color w:val="000000"/>
          <w:sz w:val="28"/>
        </w:rPr>
        <w:t xml:space="preserve"> "Biodiesel Safety Requirements" shall be approved.</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2. This Decree shall enter into effect upon expiry of six months and from the date of the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116 dated February 10, 2011 </w:t>
            </w:r>
          </w:p>
        </w:tc>
      </w:tr>
    </w:tbl>
    <w:bookmarkStart w:name="z5" w:id="2"/>
    <w:p>
      <w:pPr>
        <w:spacing w:after="0"/>
        <w:ind w:left="0"/>
        <w:jc w:val="left"/>
      </w:pPr>
      <w:r>
        <w:rPr>
          <w:rFonts w:ascii="Times New Roman"/>
          <w:b/>
          <w:i w:val="false"/>
          <w:color w:val="000000"/>
        </w:rPr>
        <w:t xml:space="preserve"> Technical Regulation </w:t>
      </w:r>
      <w:r>
        <w:br/>
      </w:r>
      <w:r>
        <w:rPr>
          <w:rFonts w:ascii="Times New Roman"/>
          <w:b/>
          <w:i w:val="false"/>
          <w:color w:val="000000"/>
        </w:rPr>
        <w:t xml:space="preserve">"Biodiesel Safety Requirements " </w:t>
      </w:r>
      <w:r>
        <w:br/>
      </w:r>
      <w:r>
        <w:rPr>
          <w:rFonts w:ascii="Times New Roman"/>
          <w:b/>
          <w:i w:val="false"/>
          <w:color w:val="000000"/>
        </w:rPr>
        <w:t xml:space="preserve">1. General provisions </w:t>
      </w:r>
    </w:p>
    <w:bookmarkEnd w:id="2"/>
    <w:bookmarkStart w:name="z6" w:id="3"/>
    <w:p>
      <w:pPr>
        <w:spacing w:after="0"/>
        <w:ind w:left="0"/>
        <w:jc w:val="both"/>
      </w:pPr>
      <w:r>
        <w:rPr>
          <w:rFonts w:ascii="Times New Roman"/>
          <w:b w:val="false"/>
          <w:i w:val="false"/>
          <w:color w:val="000000"/>
          <w:sz w:val="28"/>
        </w:rPr>
        <w:t>
      1. This technical regulation establishes the requirements for biodiesel produced (manufactured) and imported biodiesel which is included in subgroup 2710 of group 27 “Mineral Fuel, Oil and Products of Their Distillation; Bituminous Substances; Mineral Waxes” according to the Combined Commodity Nomenclature for Foreign Economic Activities of the Customs Union.</w:t>
      </w:r>
    </w:p>
    <w:bookmarkEnd w:id="3"/>
    <w:bookmarkStart w:name="z7" w:id="4"/>
    <w:p>
      <w:pPr>
        <w:spacing w:after="0"/>
        <w:ind w:left="0"/>
        <w:jc w:val="both"/>
      </w:pPr>
      <w:r>
        <w:rPr>
          <w:rFonts w:ascii="Times New Roman"/>
          <w:b w:val="false"/>
          <w:i w:val="false"/>
          <w:color w:val="000000"/>
          <w:sz w:val="28"/>
        </w:rPr>
        <w:t>
      2. Dangerous factors in the production and turnover of biodiesel are:</w:t>
      </w:r>
    </w:p>
    <w:bookmarkEnd w:id="4"/>
    <w:bookmarkStart w:name="z8" w:id="5"/>
    <w:p>
      <w:pPr>
        <w:spacing w:after="0"/>
        <w:ind w:left="0"/>
        <w:jc w:val="both"/>
      </w:pPr>
      <w:r>
        <w:rPr>
          <w:rFonts w:ascii="Times New Roman"/>
          <w:b w:val="false"/>
          <w:i w:val="false"/>
          <w:color w:val="000000"/>
          <w:sz w:val="28"/>
        </w:rPr>
        <w:t>
      1) careless handling of chemicals and reagents;</w:t>
      </w:r>
    </w:p>
    <w:bookmarkEnd w:id="5"/>
    <w:bookmarkStart w:name="z9" w:id="6"/>
    <w:p>
      <w:pPr>
        <w:spacing w:after="0"/>
        <w:ind w:left="0"/>
        <w:jc w:val="both"/>
      </w:pPr>
      <w:r>
        <w:rPr>
          <w:rFonts w:ascii="Times New Roman"/>
          <w:b w:val="false"/>
          <w:i w:val="false"/>
          <w:color w:val="000000"/>
          <w:sz w:val="28"/>
        </w:rPr>
        <w:t>
      2) increased or decreased ambient temperature, equipment surfaces;</w:t>
      </w:r>
    </w:p>
    <w:bookmarkEnd w:id="6"/>
    <w:bookmarkStart w:name="z10" w:id="7"/>
    <w:p>
      <w:pPr>
        <w:spacing w:after="0"/>
        <w:ind w:left="0"/>
        <w:jc w:val="both"/>
      </w:pPr>
      <w:r>
        <w:rPr>
          <w:rFonts w:ascii="Times New Roman"/>
          <w:b w:val="false"/>
          <w:i w:val="false"/>
          <w:color w:val="000000"/>
          <w:sz w:val="28"/>
        </w:rPr>
        <w:t>
      3) mixing biodiesel with other liquids;</w:t>
      </w:r>
    </w:p>
    <w:bookmarkEnd w:id="7"/>
    <w:bookmarkStart w:name="z11" w:id="8"/>
    <w:p>
      <w:pPr>
        <w:spacing w:after="0"/>
        <w:ind w:left="0"/>
        <w:jc w:val="both"/>
      </w:pPr>
      <w:r>
        <w:rPr>
          <w:rFonts w:ascii="Times New Roman"/>
          <w:b w:val="false"/>
          <w:i w:val="false"/>
          <w:color w:val="000000"/>
          <w:sz w:val="28"/>
        </w:rPr>
        <w:t>
      4) careless handling of fire during the production, use, transportation, packaging and storage of biodiesel ;</w:t>
      </w:r>
    </w:p>
    <w:bookmarkEnd w:id="8"/>
    <w:bookmarkStart w:name="z12" w:id="9"/>
    <w:p>
      <w:pPr>
        <w:spacing w:after="0"/>
        <w:ind w:left="0"/>
        <w:jc w:val="both"/>
      </w:pPr>
      <w:r>
        <w:rPr>
          <w:rFonts w:ascii="Times New Roman"/>
          <w:b w:val="false"/>
          <w:i w:val="false"/>
          <w:color w:val="000000"/>
          <w:sz w:val="28"/>
        </w:rPr>
        <w:t>
      5) hazardous operating processes in which excess heat is released;</w:t>
      </w:r>
    </w:p>
    <w:bookmarkEnd w:id="9"/>
    <w:bookmarkStart w:name="z13" w:id="10"/>
    <w:p>
      <w:pPr>
        <w:spacing w:after="0"/>
        <w:ind w:left="0"/>
        <w:jc w:val="both"/>
      </w:pPr>
      <w:r>
        <w:rPr>
          <w:rFonts w:ascii="Times New Roman"/>
          <w:b w:val="false"/>
          <w:i w:val="false"/>
          <w:color w:val="000000"/>
          <w:sz w:val="28"/>
        </w:rPr>
        <w:t>
      6) packaging leakage and spillage;</w:t>
      </w:r>
    </w:p>
    <w:bookmarkEnd w:id="10"/>
    <w:bookmarkStart w:name="z14" w:id="11"/>
    <w:p>
      <w:pPr>
        <w:spacing w:after="0"/>
        <w:ind w:left="0"/>
        <w:jc w:val="both"/>
      </w:pPr>
      <w:r>
        <w:rPr>
          <w:rFonts w:ascii="Times New Roman"/>
          <w:b w:val="false"/>
          <w:i w:val="false"/>
          <w:color w:val="000000"/>
          <w:sz w:val="28"/>
        </w:rPr>
        <w:t>
      7) getting biodiesel into drinking water;</w:t>
      </w:r>
    </w:p>
    <w:bookmarkEnd w:id="11"/>
    <w:bookmarkStart w:name="z15" w:id="12"/>
    <w:p>
      <w:pPr>
        <w:spacing w:after="0"/>
        <w:ind w:left="0"/>
        <w:jc w:val="both"/>
      </w:pPr>
      <w:r>
        <w:rPr>
          <w:rFonts w:ascii="Times New Roman"/>
          <w:b w:val="false"/>
          <w:i w:val="false"/>
          <w:color w:val="000000"/>
          <w:sz w:val="28"/>
        </w:rPr>
        <w:t>
      8) contact with the eyes, gastrointestinal tract, mucous membrane and human skin.</w:t>
      </w:r>
    </w:p>
    <w:bookmarkEnd w:id="12"/>
    <w:bookmarkStart w:name="z16" w:id="13"/>
    <w:p>
      <w:pPr>
        <w:spacing w:after="0"/>
        <w:ind w:left="0"/>
        <w:jc w:val="both"/>
      </w:pPr>
      <w:r>
        <w:rPr>
          <w:rFonts w:ascii="Times New Roman"/>
          <w:b w:val="false"/>
          <w:i w:val="false"/>
          <w:color w:val="000000"/>
          <w:sz w:val="28"/>
        </w:rPr>
        <w:t>
      3. Biodiesel shall be identified by marking and accompanying documents, parameters, indicators and requirements, which together are sufficient for identification;</w:t>
      </w:r>
    </w:p>
    <w:bookmarkEnd w:id="13"/>
    <w:bookmarkStart w:name="z17" w:id="14"/>
    <w:p>
      <w:pPr>
        <w:spacing w:after="0"/>
        <w:ind w:left="0"/>
        <w:jc w:val="both"/>
      </w:pPr>
      <w:r>
        <w:rPr>
          <w:rFonts w:ascii="Times New Roman"/>
          <w:b w:val="false"/>
          <w:i w:val="false"/>
          <w:color w:val="000000"/>
          <w:sz w:val="28"/>
        </w:rPr>
        <w:t>
      Identification shall be carried out using regulatory documents on standardization, establishing the requirements for biodiesel using one of the following methods or a combination thereof:</w:t>
      </w:r>
    </w:p>
    <w:bookmarkEnd w:id="14"/>
    <w:bookmarkStart w:name="z18" w:id="15"/>
    <w:p>
      <w:pPr>
        <w:spacing w:after="0"/>
        <w:ind w:left="0"/>
        <w:jc w:val="both"/>
      </w:pPr>
      <w:r>
        <w:rPr>
          <w:rFonts w:ascii="Times New Roman"/>
          <w:b w:val="false"/>
          <w:i w:val="false"/>
          <w:color w:val="000000"/>
          <w:sz w:val="28"/>
        </w:rPr>
        <w:t>
      analysis of documents characterizing a biodiesel batch ;</w:t>
      </w:r>
    </w:p>
    <w:bookmarkEnd w:id="15"/>
    <w:bookmarkStart w:name="z19" w:id="16"/>
    <w:p>
      <w:pPr>
        <w:spacing w:after="0"/>
        <w:ind w:left="0"/>
        <w:jc w:val="both"/>
      </w:pPr>
      <w:r>
        <w:rPr>
          <w:rFonts w:ascii="Times New Roman"/>
          <w:b w:val="false"/>
          <w:i w:val="false"/>
          <w:color w:val="000000"/>
          <w:sz w:val="28"/>
        </w:rPr>
        <w:t>
      research and (or) biodiesel tests .</w:t>
      </w:r>
    </w:p>
    <w:bookmarkEnd w:id="16"/>
    <w:bookmarkStart w:name="z20" w:id="17"/>
    <w:p>
      <w:pPr>
        <w:spacing w:after="0"/>
        <w:ind w:left="0"/>
        <w:jc w:val="left"/>
      </w:pPr>
      <w:r>
        <w:rPr>
          <w:rFonts w:ascii="Times New Roman"/>
          <w:b/>
          <w:i w:val="false"/>
          <w:color w:val="000000"/>
        </w:rPr>
        <w:t xml:space="preserve"> 2. Terms and definitions</w:t>
      </w:r>
    </w:p>
    <w:bookmarkEnd w:id="17"/>
    <w:bookmarkStart w:name="z21" w:id="18"/>
    <w:p>
      <w:pPr>
        <w:spacing w:after="0"/>
        <w:ind w:left="0"/>
        <w:jc w:val="both"/>
      </w:pPr>
      <w:r>
        <w:rPr>
          <w:rFonts w:ascii="Times New Roman"/>
          <w:b w:val="false"/>
          <w:i w:val="false"/>
          <w:color w:val="000000"/>
          <w:sz w:val="28"/>
        </w:rPr>
        <w:t xml:space="preserve">
      4. This Technical Regulation uses the terms and definitions established by </w:t>
      </w:r>
      <w:r>
        <w:rPr>
          <w:rFonts w:ascii="Times New Roman"/>
          <w:b w:val="false"/>
          <w:i w:val="false"/>
          <w:color w:val="000000"/>
          <w:sz w:val="28"/>
        </w:rPr>
        <w:t>laws</w:t>
      </w:r>
      <w:r>
        <w:rPr>
          <w:rFonts w:ascii="Times New Roman"/>
          <w:b w:val="false"/>
          <w:i w:val="false"/>
          <w:color w:val="000000"/>
          <w:sz w:val="28"/>
        </w:rPr>
        <w:t xml:space="preserve"> in the field of state regulation of production and turnover of petroleum products and </w:t>
      </w:r>
      <w:r>
        <w:rPr>
          <w:rFonts w:ascii="Times New Roman"/>
          <w:b w:val="false"/>
          <w:i w:val="false"/>
          <w:color w:val="000000"/>
          <w:sz w:val="28"/>
        </w:rPr>
        <w:t>technical regulation</w:t>
      </w:r>
      <w:r>
        <w:rPr>
          <w:rFonts w:ascii="Times New Roman"/>
          <w:b w:val="false"/>
          <w:i w:val="false"/>
          <w:color w:val="000000"/>
          <w:sz w:val="28"/>
        </w:rPr>
        <w:t>, as well as used by this Technical Regulation:</w:t>
      </w:r>
      <w:r>
        <w:rPr>
          <w:rFonts w:ascii="Times New Roman"/>
          <w:b w:val="false"/>
          <w:i w:val="false"/>
          <w:color w:val="000000"/>
          <w:sz w:val="28"/>
        </w:rPr>
        <w:t xml:space="preserve"> </w:t>
      </w:r>
    </w:p>
    <w:bookmarkEnd w:id="18"/>
    <w:bookmarkStart w:name="z22" w:id="19"/>
    <w:p>
      <w:pPr>
        <w:spacing w:after="0"/>
        <w:ind w:left="0"/>
        <w:jc w:val="both"/>
      </w:pPr>
      <w:r>
        <w:rPr>
          <w:rFonts w:ascii="Times New Roman"/>
          <w:b w:val="false"/>
          <w:i w:val="false"/>
          <w:color w:val="000000"/>
          <w:sz w:val="28"/>
        </w:rPr>
        <w:t>
      1) biodiesel - methyl or ethyl esters of oils of vegetable or animal origin, having the property of diesel fuel;</w:t>
      </w:r>
    </w:p>
    <w:bookmarkEnd w:id="19"/>
    <w:bookmarkStart w:name="z23" w:id="20"/>
    <w:p>
      <w:pPr>
        <w:spacing w:after="0"/>
        <w:ind w:left="0"/>
        <w:jc w:val="both"/>
      </w:pPr>
      <w:r>
        <w:rPr>
          <w:rFonts w:ascii="Times New Roman"/>
          <w:b w:val="false"/>
          <w:i w:val="false"/>
          <w:color w:val="000000"/>
          <w:sz w:val="28"/>
        </w:rPr>
        <w:t>
      2) additive - components added to products in order to improve stability and operational properties;</w:t>
      </w:r>
    </w:p>
    <w:bookmarkEnd w:id="20"/>
    <w:bookmarkStart w:name="z24" w:id="21"/>
    <w:p>
      <w:pPr>
        <w:spacing w:after="0"/>
        <w:ind w:left="0"/>
        <w:jc w:val="both"/>
      </w:pPr>
      <w:r>
        <w:rPr>
          <w:rFonts w:ascii="Times New Roman"/>
          <w:b w:val="false"/>
          <w:i w:val="false"/>
          <w:color w:val="000000"/>
          <w:sz w:val="28"/>
        </w:rPr>
        <w:t>
      3) esters - products of substitution of hydrogen atoms of groups - OH in mineral or carboxylic acids to hydrocarbon radicals;</w:t>
      </w:r>
    </w:p>
    <w:bookmarkEnd w:id="21"/>
    <w:bookmarkStart w:name="z25" w:id="22"/>
    <w:p>
      <w:pPr>
        <w:spacing w:after="0"/>
        <w:ind w:left="0"/>
        <w:jc w:val="both"/>
      </w:pPr>
      <w:r>
        <w:rPr>
          <w:rFonts w:ascii="Times New Roman"/>
          <w:b w:val="false"/>
          <w:i w:val="false"/>
          <w:color w:val="000000"/>
          <w:sz w:val="28"/>
        </w:rPr>
        <w:t>
      4) cetane number is a conditional quantitative characteristic of the flammable properties of diesel fuel, numerically equal to the percentage of highly flammable cetane (a hydrocarbon liquid whose cetane number is taken as 100) in its mixture with poorly flammable alpha-methylnaphthalene (a hydrocarbon liquid the cetane number of which is taken as 0), equivalent to the flammability of the test fuel under standard test conditions.</w:t>
      </w:r>
    </w:p>
    <w:bookmarkEnd w:id="22"/>
    <w:bookmarkStart w:name="z26" w:id="23"/>
    <w:p>
      <w:pPr>
        <w:spacing w:after="0"/>
        <w:ind w:left="0"/>
        <w:jc w:val="both"/>
      </w:pPr>
      <w:r>
        <w:rPr>
          <w:rFonts w:ascii="Times New Roman"/>
          <w:b w:val="false"/>
          <w:i w:val="false"/>
          <w:color w:val="000000"/>
          <w:sz w:val="28"/>
        </w:rPr>
        <w:t>
      5) biodiesel grade - letter designation of the maximum temperature of filterability of biodiesel, intended for use in temperate climatic zones;</w:t>
      </w:r>
    </w:p>
    <w:bookmarkEnd w:id="23"/>
    <w:bookmarkStart w:name="z27" w:id="24"/>
    <w:p>
      <w:pPr>
        <w:spacing w:after="0"/>
        <w:ind w:left="0"/>
        <w:jc w:val="both"/>
      </w:pPr>
      <w:r>
        <w:rPr>
          <w:rFonts w:ascii="Times New Roman"/>
          <w:b w:val="false"/>
          <w:i w:val="false"/>
          <w:color w:val="000000"/>
          <w:sz w:val="28"/>
        </w:rPr>
        <w:t>
      6) biodiesel class - digital designation of the temperature limit of filterability of biodiesel, designed for use in arctic and cold climatic zones.</w:t>
      </w:r>
    </w:p>
    <w:bookmarkEnd w:id="24"/>
    <w:bookmarkStart w:name="z28" w:id="25"/>
    <w:p>
      <w:pPr>
        <w:spacing w:after="0"/>
        <w:ind w:left="0"/>
        <w:jc w:val="left"/>
      </w:pPr>
      <w:r>
        <w:rPr>
          <w:rFonts w:ascii="Times New Roman"/>
          <w:b/>
          <w:i w:val="false"/>
          <w:color w:val="000000"/>
        </w:rPr>
        <w:t xml:space="preserve"> 3. Conditions for circulation of biodiesel on the market</w:t>
      </w:r>
    </w:p>
    <w:bookmarkEnd w:id="25"/>
    <w:bookmarkStart w:name="z29" w:id="26"/>
    <w:p>
      <w:pPr>
        <w:spacing w:after="0"/>
        <w:ind w:left="0"/>
        <w:jc w:val="both"/>
      </w:pPr>
      <w:r>
        <w:rPr>
          <w:rFonts w:ascii="Times New Roman"/>
          <w:b w:val="false"/>
          <w:i w:val="false"/>
          <w:color w:val="000000"/>
          <w:sz w:val="28"/>
        </w:rPr>
        <w:t>
      5. A necessary condition for the circulation of biodiesel on the market of the Republic of Kazakhstan shall be the conformity of biodiesel to the requirements established by this Technical Regulation.</w:t>
      </w:r>
    </w:p>
    <w:bookmarkEnd w:id="26"/>
    <w:bookmarkStart w:name="z30" w:id="27"/>
    <w:p>
      <w:pPr>
        <w:spacing w:after="0"/>
        <w:ind w:left="0"/>
        <w:jc w:val="both"/>
      </w:pPr>
      <w:r>
        <w:rPr>
          <w:rFonts w:ascii="Times New Roman"/>
          <w:b w:val="false"/>
          <w:i w:val="false"/>
          <w:color w:val="000000"/>
          <w:sz w:val="28"/>
        </w:rPr>
        <w:t xml:space="preserve">
      6. In the process of handling with biodiesel, each batch must have a biodiesel passport , accompanied by a </w:t>
      </w:r>
      <w:r>
        <w:rPr>
          <w:rFonts w:ascii="Times New Roman"/>
          <w:b w:val="false"/>
          <w:i w:val="false"/>
          <w:color w:val="000000"/>
          <w:sz w:val="28"/>
        </w:rPr>
        <w:t xml:space="preserve">certificate of </w:t>
      </w:r>
      <w:r>
        <w:rPr>
          <w:rFonts w:ascii="Times New Roman"/>
          <w:b w:val="false"/>
          <w:i w:val="false"/>
          <w:color w:val="000000"/>
          <w:sz w:val="28"/>
        </w:rPr>
        <w:t>conformity</w:t>
      </w:r>
      <w:r>
        <w:rPr>
          <w:rFonts w:ascii="Times New Roman"/>
          <w:b w:val="false"/>
          <w:i w:val="false"/>
          <w:color w:val="000000"/>
          <w:sz w:val="28"/>
        </w:rPr>
        <w:t xml:space="preserve"> .</w:t>
      </w:r>
      <w:r>
        <w:rPr>
          <w:rFonts w:ascii="Times New Roman"/>
          <w:b w:val="false"/>
          <w:i w:val="false"/>
          <w:color w:val="000000"/>
          <w:sz w:val="28"/>
        </w:rPr>
        <w:t xml:space="preserve"> </w:t>
      </w:r>
    </w:p>
    <w:bookmarkEnd w:id="27"/>
    <w:bookmarkStart w:name="z31" w:id="28"/>
    <w:p>
      <w:pPr>
        <w:spacing w:after="0"/>
        <w:ind w:left="0"/>
        <w:jc w:val="both"/>
      </w:pPr>
      <w:r>
        <w:rPr>
          <w:rFonts w:ascii="Times New Roman"/>
          <w:b w:val="false"/>
          <w:i w:val="false"/>
          <w:color w:val="000000"/>
          <w:sz w:val="28"/>
        </w:rPr>
        <w:t>
      7. The biodiesel passport must contain the information below.</w:t>
      </w:r>
    </w:p>
    <w:bookmarkEnd w:id="28"/>
    <w:bookmarkStart w:name="z32" w:id="29"/>
    <w:p>
      <w:pPr>
        <w:spacing w:after="0"/>
        <w:ind w:left="0"/>
        <w:jc w:val="both"/>
      </w:pPr>
      <w:r>
        <w:rPr>
          <w:rFonts w:ascii="Times New Roman"/>
          <w:b w:val="false"/>
          <w:i w:val="false"/>
          <w:color w:val="000000"/>
          <w:sz w:val="28"/>
        </w:rPr>
        <w:t>
      1) the name and grade or class of biodiesel , its intended purpose;</w:t>
      </w:r>
    </w:p>
    <w:bookmarkEnd w:id="29"/>
    <w:bookmarkStart w:name="z33" w:id="30"/>
    <w:p>
      <w:pPr>
        <w:spacing w:after="0"/>
        <w:ind w:left="0"/>
        <w:jc w:val="both"/>
      </w:pPr>
      <w:r>
        <w:rPr>
          <w:rFonts w:ascii="Times New Roman"/>
          <w:b w:val="false"/>
          <w:i w:val="false"/>
          <w:color w:val="000000"/>
          <w:sz w:val="28"/>
        </w:rPr>
        <w:t>
      2) the name , location of the manufacturer and its authorized representative, the country of origin of the biodiesel , the name and location (address, telephone number) of the seller;</w:t>
      </w:r>
    </w:p>
    <w:bookmarkEnd w:id="30"/>
    <w:bookmarkStart w:name="z34" w:id="31"/>
    <w:p>
      <w:pPr>
        <w:spacing w:after="0"/>
        <w:ind w:left="0"/>
        <w:jc w:val="both"/>
      </w:pPr>
      <w:r>
        <w:rPr>
          <w:rFonts w:ascii="Times New Roman"/>
          <w:b w:val="false"/>
          <w:i w:val="false"/>
          <w:color w:val="000000"/>
          <w:sz w:val="28"/>
        </w:rPr>
        <w:t>
      3) information on documents containing the standards to which biodiesel complies ;</w:t>
      </w:r>
    </w:p>
    <w:bookmarkEnd w:id="31"/>
    <w:bookmarkStart w:name="z35" w:id="32"/>
    <w:p>
      <w:pPr>
        <w:spacing w:after="0"/>
        <w:ind w:left="0"/>
        <w:jc w:val="both"/>
      </w:pPr>
      <w:r>
        <w:rPr>
          <w:rFonts w:ascii="Times New Roman"/>
          <w:b w:val="false"/>
          <w:i w:val="false"/>
          <w:color w:val="000000"/>
          <w:sz w:val="28"/>
        </w:rPr>
        <w:t>
      4) production date and batch number;</w:t>
      </w:r>
    </w:p>
    <w:bookmarkEnd w:id="32"/>
    <w:bookmarkStart w:name="z36" w:id="33"/>
    <w:p>
      <w:pPr>
        <w:spacing w:after="0"/>
        <w:ind w:left="0"/>
        <w:jc w:val="both"/>
      </w:pPr>
      <w:r>
        <w:rPr>
          <w:rFonts w:ascii="Times New Roman"/>
          <w:b w:val="false"/>
          <w:i w:val="false"/>
          <w:color w:val="000000"/>
          <w:sz w:val="28"/>
        </w:rPr>
        <w:t>
      5) net mass in containers;</w:t>
      </w:r>
    </w:p>
    <w:bookmarkEnd w:id="33"/>
    <w:bookmarkStart w:name="z37" w:id="34"/>
    <w:p>
      <w:pPr>
        <w:spacing w:after="0"/>
        <w:ind w:left="0"/>
        <w:jc w:val="both"/>
      </w:pPr>
      <w:r>
        <w:rPr>
          <w:rFonts w:ascii="Times New Roman"/>
          <w:b w:val="false"/>
          <w:i w:val="false"/>
          <w:color w:val="000000"/>
          <w:sz w:val="28"/>
        </w:rPr>
        <w:t>
      6) ecological class of equipment for which it is intended;</w:t>
      </w:r>
    </w:p>
    <w:bookmarkEnd w:id="34"/>
    <w:bookmarkStart w:name="z38" w:id="35"/>
    <w:p>
      <w:pPr>
        <w:spacing w:after="0"/>
        <w:ind w:left="0"/>
        <w:jc w:val="both"/>
      </w:pPr>
      <w:r>
        <w:rPr>
          <w:rFonts w:ascii="Times New Roman"/>
          <w:b w:val="false"/>
          <w:i w:val="false"/>
          <w:color w:val="000000"/>
          <w:sz w:val="28"/>
        </w:rPr>
        <w:t>
      7) the standards that meet the requirements of this Technical Regulation, the actual values ​​of these characteristics, determined by the test results , the date of sampling, the tank number (batch number) from which this sample has been taken;</w:t>
      </w:r>
    </w:p>
    <w:bookmarkEnd w:id="35"/>
    <w:bookmarkStart w:name="z39" w:id="36"/>
    <w:p>
      <w:pPr>
        <w:spacing w:after="0"/>
        <w:ind w:left="0"/>
        <w:jc w:val="both"/>
      </w:pPr>
      <w:r>
        <w:rPr>
          <w:rFonts w:ascii="Times New Roman"/>
          <w:b w:val="false"/>
          <w:i w:val="false"/>
          <w:color w:val="000000"/>
          <w:sz w:val="28"/>
        </w:rPr>
        <w:t>
      8) the date of the biodiesel analysis ;</w:t>
      </w:r>
    </w:p>
    <w:bookmarkEnd w:id="36"/>
    <w:bookmarkStart w:name="z40" w:id="37"/>
    <w:p>
      <w:pPr>
        <w:spacing w:after="0"/>
        <w:ind w:left="0"/>
        <w:jc w:val="both"/>
      </w:pPr>
      <w:r>
        <w:rPr>
          <w:rFonts w:ascii="Times New Roman"/>
          <w:b w:val="false"/>
          <w:i w:val="false"/>
          <w:color w:val="000000"/>
          <w:sz w:val="28"/>
        </w:rPr>
        <w:t>
      9) information on the presence and name of additives added to biodiesel , or on the absence of additives;</w:t>
      </w:r>
    </w:p>
    <w:bookmarkEnd w:id="37"/>
    <w:bookmarkStart w:name="z41" w:id="38"/>
    <w:p>
      <w:pPr>
        <w:spacing w:after="0"/>
        <w:ind w:left="0"/>
        <w:jc w:val="both"/>
      </w:pPr>
      <w:r>
        <w:rPr>
          <w:rFonts w:ascii="Times New Roman"/>
          <w:b w:val="false"/>
          <w:i w:val="false"/>
          <w:color w:val="000000"/>
          <w:sz w:val="28"/>
        </w:rPr>
        <w:t>
      10) expiration date;</w:t>
      </w:r>
    </w:p>
    <w:bookmarkEnd w:id="38"/>
    <w:bookmarkStart w:name="z42" w:id="39"/>
    <w:p>
      <w:pPr>
        <w:spacing w:after="0"/>
        <w:ind w:left="0"/>
        <w:jc w:val="both"/>
      </w:pPr>
      <w:r>
        <w:rPr>
          <w:rFonts w:ascii="Times New Roman"/>
          <w:b w:val="false"/>
          <w:i w:val="false"/>
          <w:color w:val="000000"/>
          <w:sz w:val="28"/>
        </w:rPr>
        <w:t>
      11 ) information about manipulation marks;</w:t>
      </w:r>
    </w:p>
    <w:bookmarkEnd w:id="39"/>
    <w:bookmarkStart w:name="z43" w:id="40"/>
    <w:p>
      <w:pPr>
        <w:spacing w:after="0"/>
        <w:ind w:left="0"/>
        <w:jc w:val="both"/>
      </w:pPr>
      <w:r>
        <w:rPr>
          <w:rFonts w:ascii="Times New Roman"/>
          <w:b w:val="false"/>
          <w:i w:val="false"/>
          <w:color w:val="000000"/>
          <w:sz w:val="28"/>
        </w:rPr>
        <w:t>
      12) information on the certificate of conformity;</w:t>
      </w:r>
    </w:p>
    <w:bookmarkEnd w:id="40"/>
    <w:bookmarkStart w:name="z44" w:id="41"/>
    <w:p>
      <w:pPr>
        <w:spacing w:after="0"/>
        <w:ind w:left="0"/>
        <w:jc w:val="both"/>
      </w:pPr>
      <w:r>
        <w:rPr>
          <w:rFonts w:ascii="Times New Roman"/>
          <w:b w:val="false"/>
          <w:i w:val="false"/>
          <w:color w:val="000000"/>
          <w:sz w:val="28"/>
        </w:rPr>
        <w:t>
      13) information on the safe storage, transportation, sale, use and disposal of biodiesel .</w:t>
      </w:r>
    </w:p>
    <w:bookmarkEnd w:id="41"/>
    <w:bookmarkStart w:name="z45" w:id="42"/>
    <w:p>
      <w:pPr>
        <w:spacing w:after="0"/>
        <w:ind w:left="0"/>
        <w:jc w:val="both"/>
      </w:pPr>
      <w:r>
        <w:rPr>
          <w:rFonts w:ascii="Times New Roman"/>
          <w:b w:val="false"/>
          <w:i w:val="false"/>
          <w:color w:val="000000"/>
          <w:sz w:val="28"/>
        </w:rPr>
        <w:t>
      The biodiesel passport issued by the manufacturer shall be signed by the head of the enterprise or its authorized person and certified with a seal.</w:t>
      </w:r>
    </w:p>
    <w:bookmarkEnd w:id="42"/>
    <w:bookmarkStart w:name="z46" w:id="43"/>
    <w:p>
      <w:pPr>
        <w:spacing w:after="0"/>
        <w:ind w:left="0"/>
        <w:jc w:val="both"/>
      </w:pPr>
      <w:r>
        <w:rPr>
          <w:rFonts w:ascii="Times New Roman"/>
          <w:b w:val="false"/>
          <w:i w:val="false"/>
          <w:color w:val="000000"/>
          <w:sz w:val="28"/>
        </w:rPr>
        <w:t>
      8. Advertising placed on the columns of biodiesel filling stations (another technical device for bottling biodiesel ) must contain the grade or class of biodiesel , the environmental class of equipment for which it is intended, and the mark of compliance with the requirements of this Technical Regulation.</w:t>
      </w:r>
    </w:p>
    <w:bookmarkEnd w:id="43"/>
    <w:bookmarkStart w:name="z47" w:id="44"/>
    <w:p>
      <w:pPr>
        <w:spacing w:after="0"/>
        <w:ind w:left="0"/>
        <w:jc w:val="both"/>
      </w:pPr>
      <w:r>
        <w:rPr>
          <w:rFonts w:ascii="Times New Roman"/>
          <w:b w:val="false"/>
          <w:i w:val="false"/>
          <w:color w:val="000000"/>
          <w:sz w:val="28"/>
        </w:rPr>
        <w:t>
      9. Import of biodiesel shall be limited or completely prohibited if it leads to the generation of waste, the disposal of which is associated with high environmental risk or is not economically feasible.</w:t>
      </w:r>
    </w:p>
    <w:bookmarkEnd w:id="44"/>
    <w:bookmarkStart w:name="z48" w:id="45"/>
    <w:p>
      <w:pPr>
        <w:spacing w:after="0"/>
        <w:ind w:left="0"/>
        <w:jc w:val="left"/>
      </w:pPr>
      <w:r>
        <w:rPr>
          <w:rFonts w:ascii="Times New Roman"/>
          <w:b/>
          <w:i w:val="false"/>
          <w:color w:val="000000"/>
        </w:rPr>
        <w:t xml:space="preserve"> 4. Biodiesel safety requirements</w:t>
      </w:r>
    </w:p>
    <w:bookmarkEnd w:id="45"/>
    <w:bookmarkStart w:name="z49" w:id="46"/>
    <w:p>
      <w:pPr>
        <w:spacing w:after="0"/>
        <w:ind w:left="0"/>
        <w:jc w:val="both"/>
      </w:pPr>
      <w:r>
        <w:rPr>
          <w:rFonts w:ascii="Times New Roman"/>
          <w:b w:val="false"/>
          <w:i w:val="false"/>
          <w:color w:val="000000"/>
          <w:sz w:val="28"/>
        </w:rPr>
        <w:t xml:space="preserve">
      10. Biodiesel must comply with the requirements specified in </w:t>
      </w:r>
      <w:r>
        <w:rPr>
          <w:rFonts w:ascii="Times New Roman"/>
          <w:b w:val="false"/>
          <w:i w:val="false"/>
          <w:color w:val="000000"/>
          <w:sz w:val="28"/>
        </w:rPr>
        <w:t xml:space="preserve">table </w:t>
      </w:r>
      <w:r>
        <w:rPr>
          <w:rFonts w:ascii="Times New Roman"/>
          <w:b w:val="false"/>
          <w:i w:val="false"/>
          <w:color w:val="000000"/>
          <w:sz w:val="28"/>
        </w:rPr>
        <w:t>1 of</w:t>
      </w:r>
      <w:r>
        <w:rPr>
          <w:rFonts w:ascii="Times New Roman"/>
          <w:b w:val="false"/>
          <w:i w:val="false"/>
          <w:color w:val="000000"/>
          <w:sz w:val="28"/>
        </w:rPr>
        <w:t xml:space="preserve"> Appendix 1 to this Technical Regulation.</w:t>
      </w:r>
      <w:r>
        <w:rPr>
          <w:rFonts w:ascii="Times New Roman"/>
          <w:b w:val="false"/>
          <w:i w:val="false"/>
          <w:color w:val="000000"/>
          <w:sz w:val="28"/>
        </w:rPr>
        <w:t xml:space="preserve"> </w:t>
      </w:r>
    </w:p>
    <w:bookmarkEnd w:id="46"/>
    <w:bookmarkStart w:name="z50" w:id="47"/>
    <w:p>
      <w:pPr>
        <w:spacing w:after="0"/>
        <w:ind w:left="0"/>
        <w:jc w:val="both"/>
      </w:pPr>
      <w:r>
        <w:rPr>
          <w:rFonts w:ascii="Times New Roman"/>
          <w:b w:val="false"/>
          <w:i w:val="false"/>
          <w:color w:val="000000"/>
          <w:sz w:val="28"/>
        </w:rPr>
        <w:t xml:space="preserve">
      11. According to grade or class, biodiesel must comply with the requirements specified in </w:t>
      </w:r>
      <w:r>
        <w:rPr>
          <w:rFonts w:ascii="Times New Roman"/>
          <w:b w:val="false"/>
          <w:i w:val="false"/>
          <w:color w:val="000000"/>
          <w:sz w:val="28"/>
        </w:rPr>
        <w:t xml:space="preserve">table </w:t>
      </w:r>
      <w:r>
        <w:rPr>
          <w:rFonts w:ascii="Times New Roman"/>
          <w:b w:val="false"/>
          <w:i w:val="false"/>
          <w:color w:val="000000"/>
          <w:sz w:val="28"/>
        </w:rPr>
        <w:t>2 of</w:t>
      </w:r>
      <w:r>
        <w:rPr>
          <w:rFonts w:ascii="Times New Roman"/>
          <w:b w:val="false"/>
          <w:i w:val="false"/>
          <w:color w:val="000000"/>
          <w:sz w:val="28"/>
        </w:rPr>
        <w:t xml:space="preserve"> Appendix 1 to this Technical Regulation.</w:t>
      </w:r>
      <w:r>
        <w:rPr>
          <w:rFonts w:ascii="Times New Roman"/>
          <w:b w:val="false"/>
          <w:i w:val="false"/>
          <w:color w:val="000000"/>
          <w:sz w:val="28"/>
        </w:rPr>
        <w:t xml:space="preserve"> </w:t>
      </w:r>
    </w:p>
    <w:bookmarkEnd w:id="47"/>
    <w:bookmarkStart w:name="z51" w:id="48"/>
    <w:p>
      <w:pPr>
        <w:spacing w:after="0"/>
        <w:ind w:left="0"/>
        <w:jc w:val="both"/>
      </w:pPr>
      <w:r>
        <w:rPr>
          <w:rFonts w:ascii="Times New Roman"/>
          <w:b w:val="false"/>
          <w:i w:val="false"/>
          <w:color w:val="000000"/>
          <w:sz w:val="28"/>
        </w:rPr>
        <w:t>
      12. It shall be allowed to contain dyes in biodiesel (except for green and blue) and label substances.</w:t>
      </w:r>
    </w:p>
    <w:bookmarkEnd w:id="48"/>
    <w:bookmarkStart w:name="z52" w:id="49"/>
    <w:p>
      <w:pPr>
        <w:spacing w:after="0"/>
        <w:ind w:left="0"/>
        <w:jc w:val="left"/>
      </w:pPr>
      <w:r>
        <w:rPr>
          <w:rFonts w:ascii="Times New Roman"/>
          <w:b/>
          <w:i w:val="false"/>
          <w:color w:val="000000"/>
        </w:rPr>
        <w:t xml:space="preserve"> 5. Requirements for packaging, storage and transportation</w:t>
      </w:r>
    </w:p>
    <w:bookmarkEnd w:id="49"/>
    <w:bookmarkStart w:name="z53" w:id="50"/>
    <w:p>
      <w:pPr>
        <w:spacing w:after="0"/>
        <w:ind w:left="0"/>
        <w:jc w:val="both"/>
      </w:pPr>
      <w:r>
        <w:rPr>
          <w:rFonts w:ascii="Times New Roman"/>
          <w:b w:val="false"/>
          <w:i w:val="false"/>
          <w:color w:val="000000"/>
          <w:sz w:val="28"/>
        </w:rPr>
        <w:t>
      13. For storage, biodiesel shall be accepted that meets the requirements of this Technical Regulation and has documents that ensure traceability of the product chain.</w:t>
      </w:r>
    </w:p>
    <w:bookmarkEnd w:id="50"/>
    <w:bookmarkStart w:name="z54" w:id="51"/>
    <w:p>
      <w:pPr>
        <w:spacing w:after="0"/>
        <w:ind w:left="0"/>
        <w:jc w:val="both"/>
      </w:pPr>
      <w:r>
        <w:rPr>
          <w:rFonts w:ascii="Times New Roman"/>
          <w:b w:val="false"/>
          <w:i w:val="false"/>
          <w:color w:val="000000"/>
          <w:sz w:val="28"/>
        </w:rPr>
        <w:t>
      14. Shelf life of biodiesel shall not exceed three months.</w:t>
      </w:r>
    </w:p>
    <w:bookmarkEnd w:id="51"/>
    <w:bookmarkStart w:name="z55" w:id="52"/>
    <w:p>
      <w:pPr>
        <w:spacing w:after="0"/>
        <w:ind w:left="0"/>
        <w:jc w:val="both"/>
      </w:pPr>
      <w:r>
        <w:rPr>
          <w:rFonts w:ascii="Times New Roman"/>
          <w:b w:val="false"/>
          <w:i w:val="false"/>
          <w:color w:val="000000"/>
          <w:sz w:val="28"/>
        </w:rPr>
        <w:t xml:space="preserve">
      15. The premises, buildings and structures for storing biodiesel shall be provided with serviceable primary fire extinguishing equipment, as well as an automatic fire alarm and automatic fire extinguishing installation , in accordance with </w:t>
      </w:r>
      <w:r>
        <w:rPr>
          <w:rFonts w:ascii="Times New Roman"/>
          <w:b w:val="false"/>
          <w:i w:val="false"/>
          <w:color w:val="000000"/>
          <w:sz w:val="28"/>
        </w:rPr>
        <w:t>Decree of the</w:t>
      </w:r>
      <w:r>
        <w:rPr>
          <w:rFonts w:ascii="Times New Roman"/>
          <w:b w:val="false"/>
          <w:i w:val="false"/>
          <w:color w:val="000000"/>
          <w:sz w:val="28"/>
        </w:rPr>
        <w:t xml:space="preserve"> Government of the Republic of Kazakhstan No. 14 dated January 16, 2009 “On approval of the Technical Regulations” General Requirements to Fire Safety "and </w:t>
      </w:r>
      <w:r>
        <w:rPr>
          <w:rFonts w:ascii="Times New Roman"/>
          <w:b w:val="false"/>
          <w:i w:val="false"/>
          <w:color w:val="000000"/>
          <w:sz w:val="28"/>
        </w:rPr>
        <w:t>Decree of the</w:t>
      </w:r>
      <w:r>
        <w:rPr>
          <w:rFonts w:ascii="Times New Roman"/>
          <w:b w:val="false"/>
          <w:i w:val="false"/>
          <w:color w:val="000000"/>
          <w:sz w:val="28"/>
        </w:rPr>
        <w:t xml:space="preserve"> Government of the Republic of Kazakhstan No. 796 dated August 29, 2008" On approval of the Technical Regulations "Requirements for the Equipment of the Building Systems, Automatic Fire Extinguishing Systems and Automatic Fire Alarms, Warning and Evacuation of People in Case of Fire.”</w:t>
      </w:r>
      <w:r>
        <w:rPr>
          <w:rFonts w:ascii="Times New Roman"/>
          <w:b w:val="false"/>
          <w:i w:val="false"/>
          <w:color w:val="000000"/>
          <w:sz w:val="28"/>
        </w:rPr>
        <w:t xml:space="preserve"> </w:t>
      </w:r>
    </w:p>
    <w:bookmarkEnd w:id="52"/>
    <w:bookmarkStart w:name="z56" w:id="53"/>
    <w:p>
      <w:pPr>
        <w:spacing w:after="0"/>
        <w:ind w:left="0"/>
        <w:jc w:val="both"/>
      </w:pPr>
      <w:r>
        <w:rPr>
          <w:rFonts w:ascii="Times New Roman"/>
          <w:b w:val="false"/>
          <w:i w:val="false"/>
          <w:color w:val="000000"/>
          <w:sz w:val="28"/>
        </w:rPr>
        <w:t>
      16. Transportation of biodiesel shall be allowed by means of specially equipped and approved vehicles for transportation in accordance with the requirements for the transport of dangerous goods.</w:t>
      </w:r>
    </w:p>
    <w:bookmarkEnd w:id="53"/>
    <w:bookmarkStart w:name="z57" w:id="54"/>
    <w:p>
      <w:pPr>
        <w:spacing w:after="0"/>
        <w:ind w:left="0"/>
        <w:jc w:val="both"/>
      </w:pPr>
      <w:r>
        <w:rPr>
          <w:rFonts w:ascii="Times New Roman"/>
          <w:b w:val="false"/>
          <w:i w:val="false"/>
          <w:color w:val="000000"/>
          <w:sz w:val="28"/>
        </w:rPr>
        <w:t>
      17. The surface of tanks and containers in contact with biodiesel shall not react with it and be a source of pollution.</w:t>
      </w:r>
    </w:p>
    <w:bookmarkEnd w:id="54"/>
    <w:bookmarkStart w:name="z58" w:id="55"/>
    <w:p>
      <w:pPr>
        <w:spacing w:after="0"/>
        <w:ind w:left="0"/>
        <w:jc w:val="both"/>
      </w:pPr>
      <w:r>
        <w:rPr>
          <w:rFonts w:ascii="Times New Roman"/>
          <w:b w:val="false"/>
          <w:i w:val="false"/>
          <w:color w:val="000000"/>
          <w:sz w:val="28"/>
        </w:rPr>
        <w:t>
      18. Tanks served for preparation for filling must be accompanied by a document containing the name of the merged product. In the absence of this document, the name of the merged product shall be established by analysis of the residue from the tank.</w:t>
      </w:r>
    </w:p>
    <w:bookmarkEnd w:id="55"/>
    <w:bookmarkStart w:name="z59" w:id="56"/>
    <w:p>
      <w:pPr>
        <w:spacing w:after="0"/>
        <w:ind w:left="0"/>
        <w:jc w:val="both"/>
      </w:pPr>
      <w:r>
        <w:rPr>
          <w:rFonts w:ascii="Times New Roman"/>
          <w:b w:val="false"/>
          <w:i w:val="false"/>
          <w:color w:val="000000"/>
          <w:sz w:val="28"/>
        </w:rPr>
        <w:t>
      19. From tanks, biodiesel must be completely drained. Moreover, in tanks that do not have a lower drainage device, a residue of a height of not more than 1 cm shall be allowed .</w:t>
      </w:r>
    </w:p>
    <w:bookmarkEnd w:id="56"/>
    <w:bookmarkStart w:name="z60" w:id="57"/>
    <w:p>
      <w:pPr>
        <w:spacing w:after="0"/>
        <w:ind w:left="0"/>
        <w:jc w:val="both"/>
      </w:pPr>
      <w:r>
        <w:rPr>
          <w:rFonts w:ascii="Times New Roman"/>
          <w:b w:val="false"/>
          <w:i w:val="false"/>
          <w:color w:val="000000"/>
          <w:sz w:val="28"/>
        </w:rPr>
        <w:t>
      20. The degree of filling containers with fuel shall be no more than 95 percent of the volume.</w:t>
      </w:r>
    </w:p>
    <w:bookmarkEnd w:id="57"/>
    <w:bookmarkStart w:name="z61" w:id="58"/>
    <w:p>
      <w:pPr>
        <w:spacing w:after="0"/>
        <w:ind w:left="0"/>
        <w:jc w:val="both"/>
      </w:pPr>
      <w:r>
        <w:rPr>
          <w:rFonts w:ascii="Times New Roman"/>
          <w:b w:val="false"/>
          <w:i w:val="false"/>
          <w:color w:val="000000"/>
          <w:sz w:val="28"/>
        </w:rPr>
        <w:t>
      21. After filling, the container shall be wiped.</w:t>
      </w:r>
    </w:p>
    <w:bookmarkEnd w:id="58"/>
    <w:bookmarkStart w:name="z62" w:id="59"/>
    <w:p>
      <w:pPr>
        <w:spacing w:after="0"/>
        <w:ind w:left="0"/>
        <w:jc w:val="both"/>
      </w:pPr>
      <w:r>
        <w:rPr>
          <w:rFonts w:ascii="Times New Roman"/>
          <w:b w:val="false"/>
          <w:i w:val="false"/>
          <w:color w:val="000000"/>
          <w:sz w:val="28"/>
        </w:rPr>
        <w:t>
      22. Storage and transportation of biodiesel shall be carried out in hermetically sealed containers, preventing leakage of the product.</w:t>
      </w:r>
    </w:p>
    <w:bookmarkEnd w:id="59"/>
    <w:bookmarkStart w:name="z63" w:id="60"/>
    <w:p>
      <w:pPr>
        <w:spacing w:after="0"/>
        <w:ind w:left="0"/>
        <w:jc w:val="both"/>
      </w:pPr>
      <w:r>
        <w:rPr>
          <w:rFonts w:ascii="Times New Roman"/>
          <w:b w:val="false"/>
          <w:i w:val="false"/>
          <w:color w:val="000000"/>
          <w:sz w:val="28"/>
        </w:rPr>
        <w:t>
      23. The following shall be prohibted:</w:t>
      </w:r>
    </w:p>
    <w:bookmarkEnd w:id="60"/>
    <w:bookmarkStart w:name="z64" w:id="61"/>
    <w:p>
      <w:pPr>
        <w:spacing w:after="0"/>
        <w:ind w:left="0"/>
        <w:jc w:val="both"/>
      </w:pPr>
      <w:r>
        <w:rPr>
          <w:rFonts w:ascii="Times New Roman"/>
          <w:b w:val="false"/>
          <w:i w:val="false"/>
          <w:color w:val="000000"/>
          <w:sz w:val="28"/>
        </w:rPr>
        <w:t>
      1) operation of leaking equipment and valves;</w:t>
      </w:r>
    </w:p>
    <w:bookmarkEnd w:id="61"/>
    <w:bookmarkStart w:name="z65" w:id="62"/>
    <w:p>
      <w:pPr>
        <w:spacing w:after="0"/>
        <w:ind w:left="0"/>
        <w:jc w:val="both"/>
      </w:pPr>
      <w:r>
        <w:rPr>
          <w:rFonts w:ascii="Times New Roman"/>
          <w:b w:val="false"/>
          <w:i w:val="false"/>
          <w:color w:val="000000"/>
          <w:sz w:val="28"/>
        </w:rPr>
        <w:t>
      2) reduction of the height of the deboning, established by the design standards;</w:t>
      </w:r>
    </w:p>
    <w:bookmarkEnd w:id="62"/>
    <w:bookmarkStart w:name="z66" w:id="63"/>
    <w:p>
      <w:pPr>
        <w:spacing w:after="0"/>
        <w:ind w:left="0"/>
        <w:jc w:val="both"/>
      </w:pPr>
      <w:r>
        <w:rPr>
          <w:rFonts w:ascii="Times New Roman"/>
          <w:b w:val="false"/>
          <w:i w:val="false"/>
          <w:color w:val="000000"/>
          <w:sz w:val="28"/>
        </w:rPr>
        <w:t>
      3) the operation of tanks with warps and cracks, as well as faulty equipment, instrumentation, supply pipelines and stationary fire fighting devices;</w:t>
      </w:r>
    </w:p>
    <w:bookmarkEnd w:id="63"/>
    <w:bookmarkStart w:name="z67" w:id="64"/>
    <w:p>
      <w:pPr>
        <w:spacing w:after="0"/>
        <w:ind w:left="0"/>
        <w:jc w:val="both"/>
      </w:pPr>
      <w:r>
        <w:rPr>
          <w:rFonts w:ascii="Times New Roman"/>
          <w:b w:val="false"/>
          <w:i w:val="false"/>
          <w:color w:val="000000"/>
          <w:sz w:val="28"/>
        </w:rPr>
        <w:t>
      4) the availability of trees and shrubs in the embankment zone .</w:t>
      </w:r>
    </w:p>
    <w:bookmarkEnd w:id="64"/>
    <w:bookmarkStart w:name="z68" w:id="65"/>
    <w:p>
      <w:pPr>
        <w:spacing w:after="0"/>
        <w:ind w:left="0"/>
        <w:jc w:val="both"/>
      </w:pPr>
      <w:r>
        <w:rPr>
          <w:rFonts w:ascii="Times New Roman"/>
          <w:b w:val="false"/>
          <w:i w:val="false"/>
          <w:color w:val="000000"/>
          <w:sz w:val="28"/>
        </w:rPr>
        <w:t>
      24. It shall be prohibited to store biodiesel in combustible containers, in rooms of basement and ground floors that do not have windows with smoke extraction pits , as well as when common stairwells of buildings communicate with these floors.</w:t>
      </w:r>
    </w:p>
    <w:bookmarkEnd w:id="65"/>
    <w:bookmarkStart w:name="z69" w:id="66"/>
    <w:p>
      <w:pPr>
        <w:spacing w:after="0"/>
        <w:ind w:left="0"/>
        <w:jc w:val="left"/>
      </w:pPr>
      <w:r>
        <w:rPr>
          <w:rFonts w:ascii="Times New Roman"/>
          <w:b/>
          <w:i w:val="false"/>
          <w:color w:val="000000"/>
        </w:rPr>
        <w:t xml:space="preserve"> 6. Labeling requirements for biodiesel</w:t>
      </w:r>
    </w:p>
    <w:bookmarkEnd w:id="66"/>
    <w:bookmarkStart w:name="z70" w:id="67"/>
    <w:p>
      <w:pPr>
        <w:spacing w:after="0"/>
        <w:ind w:left="0"/>
        <w:jc w:val="both"/>
      </w:pPr>
      <w:r>
        <w:rPr>
          <w:rFonts w:ascii="Times New Roman"/>
          <w:b w:val="false"/>
          <w:i w:val="false"/>
          <w:color w:val="000000"/>
          <w:sz w:val="28"/>
        </w:rPr>
        <w:t>
      25. The labeling of biodiesel must comply with the requirements established by the technical regulation "Requirements for Packaging, Marking, Labelling and Their Correct Application", as well as the requirements of this section.</w:t>
      </w:r>
    </w:p>
    <w:bookmarkEnd w:id="67"/>
    <w:bookmarkStart w:name="z71" w:id="68"/>
    <w:p>
      <w:pPr>
        <w:spacing w:after="0"/>
        <w:ind w:left="0"/>
        <w:jc w:val="both"/>
      </w:pPr>
      <w:r>
        <w:rPr>
          <w:rFonts w:ascii="Times New Roman"/>
          <w:b w:val="false"/>
          <w:i w:val="false"/>
          <w:color w:val="000000"/>
          <w:sz w:val="28"/>
        </w:rPr>
        <w:t>
      26. The labeling of consumer packaging shall contain:</w:t>
      </w:r>
    </w:p>
    <w:bookmarkEnd w:id="68"/>
    <w:bookmarkStart w:name="z72" w:id="69"/>
    <w:p>
      <w:pPr>
        <w:spacing w:after="0"/>
        <w:ind w:left="0"/>
        <w:jc w:val="both"/>
      </w:pPr>
      <w:r>
        <w:rPr>
          <w:rFonts w:ascii="Times New Roman"/>
          <w:b w:val="false"/>
          <w:i w:val="false"/>
          <w:color w:val="000000"/>
          <w:sz w:val="28"/>
        </w:rPr>
        <w:t>
      1) the name of the biodiesel , its grade or class, the intended purpose ;</w:t>
      </w:r>
    </w:p>
    <w:bookmarkEnd w:id="69"/>
    <w:bookmarkStart w:name="z73" w:id="70"/>
    <w:p>
      <w:pPr>
        <w:spacing w:after="0"/>
        <w:ind w:left="0"/>
        <w:jc w:val="both"/>
      </w:pPr>
      <w:r>
        <w:rPr>
          <w:rFonts w:ascii="Times New Roman"/>
          <w:b w:val="false"/>
          <w:i w:val="false"/>
          <w:color w:val="000000"/>
          <w:sz w:val="28"/>
        </w:rPr>
        <w:t>
      2) the name of this Technical Regulation;</w:t>
      </w:r>
    </w:p>
    <w:bookmarkEnd w:id="70"/>
    <w:bookmarkStart w:name="z74" w:id="71"/>
    <w:p>
      <w:pPr>
        <w:spacing w:after="0"/>
        <w:ind w:left="0"/>
        <w:jc w:val="both"/>
      </w:pPr>
      <w:r>
        <w:rPr>
          <w:rFonts w:ascii="Times New Roman"/>
          <w:b w:val="false"/>
          <w:i w:val="false"/>
          <w:color w:val="000000"/>
          <w:sz w:val="28"/>
        </w:rPr>
        <w:t>
      3) trademark of the manufacturer;</w:t>
      </w:r>
    </w:p>
    <w:bookmarkEnd w:id="71"/>
    <w:bookmarkStart w:name="z75" w:id="72"/>
    <w:p>
      <w:pPr>
        <w:spacing w:after="0"/>
        <w:ind w:left="0"/>
        <w:jc w:val="both"/>
      </w:pPr>
      <w:r>
        <w:rPr>
          <w:rFonts w:ascii="Times New Roman"/>
          <w:b w:val="false"/>
          <w:i w:val="false"/>
          <w:color w:val="000000"/>
          <w:sz w:val="28"/>
        </w:rPr>
        <w:t>
      4) net weight or volume;</w:t>
      </w:r>
    </w:p>
    <w:bookmarkEnd w:id="72"/>
    <w:bookmarkStart w:name="z76" w:id="73"/>
    <w:p>
      <w:pPr>
        <w:spacing w:after="0"/>
        <w:ind w:left="0"/>
        <w:jc w:val="both"/>
      </w:pPr>
      <w:r>
        <w:rPr>
          <w:rFonts w:ascii="Times New Roman"/>
          <w:b w:val="false"/>
          <w:i w:val="false"/>
          <w:color w:val="000000"/>
          <w:sz w:val="28"/>
        </w:rPr>
        <w:t>
      5) date - month and year of manufacture of biodiesel ;</w:t>
      </w:r>
    </w:p>
    <w:bookmarkEnd w:id="73"/>
    <w:bookmarkStart w:name="z77" w:id="74"/>
    <w:p>
      <w:pPr>
        <w:spacing w:after="0"/>
        <w:ind w:left="0"/>
        <w:jc w:val="both"/>
      </w:pPr>
      <w:r>
        <w:rPr>
          <w:rFonts w:ascii="Times New Roman"/>
          <w:b w:val="false"/>
          <w:i w:val="false"/>
          <w:color w:val="000000"/>
          <w:sz w:val="28"/>
        </w:rPr>
        <w:t>
      6) shelf life, storage conditions;</w:t>
      </w:r>
    </w:p>
    <w:bookmarkEnd w:id="74"/>
    <w:bookmarkStart w:name="z78" w:id="75"/>
    <w:p>
      <w:pPr>
        <w:spacing w:after="0"/>
        <w:ind w:left="0"/>
        <w:jc w:val="both"/>
      </w:pPr>
      <w:r>
        <w:rPr>
          <w:rFonts w:ascii="Times New Roman"/>
          <w:b w:val="false"/>
          <w:i w:val="false"/>
          <w:color w:val="000000"/>
          <w:sz w:val="28"/>
        </w:rPr>
        <w:t>
      7) batch number.</w:t>
      </w:r>
    </w:p>
    <w:bookmarkEnd w:id="75"/>
    <w:bookmarkStart w:name="z79" w:id="76"/>
    <w:p>
      <w:pPr>
        <w:spacing w:after="0"/>
        <w:ind w:left="0"/>
        <w:jc w:val="both"/>
      </w:pPr>
      <w:r>
        <w:rPr>
          <w:rFonts w:ascii="Times New Roman"/>
          <w:b w:val="false"/>
          <w:i w:val="false"/>
          <w:color w:val="000000"/>
          <w:sz w:val="28"/>
        </w:rPr>
        <w:t>
      27. On each unit of a transport container with fuel, an inscription indelible with water and oil products and a biodiesel inscription shall be made using a stencil or stamp, containing:</w:t>
      </w:r>
    </w:p>
    <w:bookmarkEnd w:id="76"/>
    <w:bookmarkStart w:name="z80" w:id="77"/>
    <w:p>
      <w:pPr>
        <w:spacing w:after="0"/>
        <w:ind w:left="0"/>
        <w:jc w:val="both"/>
      </w:pPr>
      <w:r>
        <w:rPr>
          <w:rFonts w:ascii="Times New Roman"/>
          <w:b w:val="false"/>
          <w:i w:val="false"/>
          <w:color w:val="000000"/>
          <w:sz w:val="28"/>
        </w:rPr>
        <w:t>
      1) the name of the biodiesel, variety or class, its intended purpose;</w:t>
      </w:r>
    </w:p>
    <w:bookmarkEnd w:id="77"/>
    <w:bookmarkStart w:name="z81" w:id="78"/>
    <w:p>
      <w:pPr>
        <w:spacing w:after="0"/>
        <w:ind w:left="0"/>
        <w:jc w:val="both"/>
      </w:pPr>
      <w:r>
        <w:rPr>
          <w:rFonts w:ascii="Times New Roman"/>
          <w:b w:val="false"/>
          <w:i w:val="false"/>
          <w:color w:val="000000"/>
          <w:sz w:val="28"/>
        </w:rPr>
        <w:t>
      2) the trademark of the manufacturer ;</w:t>
      </w:r>
    </w:p>
    <w:bookmarkEnd w:id="78"/>
    <w:bookmarkStart w:name="z82" w:id="79"/>
    <w:p>
      <w:pPr>
        <w:spacing w:after="0"/>
        <w:ind w:left="0"/>
        <w:jc w:val="both"/>
      </w:pPr>
      <w:r>
        <w:rPr>
          <w:rFonts w:ascii="Times New Roman"/>
          <w:b w:val="false"/>
          <w:i w:val="false"/>
          <w:color w:val="000000"/>
          <w:sz w:val="28"/>
        </w:rPr>
        <w:t>
      3) gross and net mass;</w:t>
      </w:r>
    </w:p>
    <w:bookmarkEnd w:id="79"/>
    <w:bookmarkStart w:name="z83" w:id="80"/>
    <w:p>
      <w:pPr>
        <w:spacing w:after="0"/>
        <w:ind w:left="0"/>
        <w:jc w:val="both"/>
      </w:pPr>
      <w:r>
        <w:rPr>
          <w:rFonts w:ascii="Times New Roman"/>
          <w:b w:val="false"/>
          <w:i w:val="false"/>
          <w:color w:val="000000"/>
          <w:sz w:val="28"/>
        </w:rPr>
        <w:t>
      4) date - month and year of manufacture of fuel;</w:t>
      </w:r>
    </w:p>
    <w:bookmarkEnd w:id="80"/>
    <w:bookmarkStart w:name="z84" w:id="81"/>
    <w:p>
      <w:pPr>
        <w:spacing w:after="0"/>
        <w:ind w:left="0"/>
        <w:jc w:val="both"/>
      </w:pPr>
      <w:r>
        <w:rPr>
          <w:rFonts w:ascii="Times New Roman"/>
          <w:b w:val="false"/>
          <w:i w:val="false"/>
          <w:color w:val="000000"/>
          <w:sz w:val="28"/>
        </w:rPr>
        <w:t>
      5) shelf life and storage conditions;</w:t>
      </w:r>
    </w:p>
    <w:bookmarkEnd w:id="81"/>
    <w:bookmarkStart w:name="z85" w:id="82"/>
    <w:p>
      <w:pPr>
        <w:spacing w:after="0"/>
        <w:ind w:left="0"/>
        <w:jc w:val="both"/>
      </w:pPr>
      <w:r>
        <w:rPr>
          <w:rFonts w:ascii="Times New Roman"/>
          <w:b w:val="false"/>
          <w:i w:val="false"/>
          <w:color w:val="000000"/>
          <w:sz w:val="28"/>
        </w:rPr>
        <w:t>
      6) batch number;</w:t>
      </w:r>
    </w:p>
    <w:bookmarkEnd w:id="82"/>
    <w:bookmarkStart w:name="z86" w:id="83"/>
    <w:p>
      <w:pPr>
        <w:spacing w:after="0"/>
        <w:ind w:left="0"/>
        <w:jc w:val="both"/>
      </w:pPr>
      <w:r>
        <w:rPr>
          <w:rFonts w:ascii="Times New Roman"/>
          <w:b w:val="false"/>
          <w:i w:val="false"/>
          <w:color w:val="000000"/>
          <w:sz w:val="28"/>
        </w:rPr>
        <w:t>
      7) the name of the Technical Regulations;</w:t>
      </w:r>
    </w:p>
    <w:bookmarkEnd w:id="83"/>
    <w:bookmarkStart w:name="z87" w:id="84"/>
    <w:p>
      <w:pPr>
        <w:spacing w:after="0"/>
        <w:ind w:left="0"/>
        <w:jc w:val="both"/>
      </w:pPr>
      <w:r>
        <w:rPr>
          <w:rFonts w:ascii="Times New Roman"/>
          <w:b w:val="false"/>
          <w:i w:val="false"/>
          <w:color w:val="000000"/>
          <w:sz w:val="28"/>
        </w:rPr>
        <w:t>
      If the indicated inscription cannot be made to the transport container with fuel, then a label shall be attached to the container and a label with this inscription shall be glued, and on the container itself an indelible inscription shall be made using a stamp or stencil containing the name of the biodiesel and the date of its manufacture.</w:t>
      </w:r>
    </w:p>
    <w:bookmarkEnd w:id="84"/>
    <w:bookmarkStart w:name="z88" w:id="85"/>
    <w:p>
      <w:pPr>
        <w:spacing w:after="0"/>
        <w:ind w:left="0"/>
        <w:jc w:val="both"/>
      </w:pPr>
      <w:r>
        <w:rPr>
          <w:rFonts w:ascii="Times New Roman"/>
          <w:b w:val="false"/>
          <w:i w:val="false"/>
          <w:color w:val="000000"/>
          <w:sz w:val="28"/>
        </w:rPr>
        <w:t>
      28. Transport markings, handling signs and markings characterizing the transport danger of the cargo shall be applied to the transport packaging.</w:t>
      </w:r>
    </w:p>
    <w:bookmarkEnd w:id="85"/>
    <w:bookmarkStart w:name="z89" w:id="86"/>
    <w:p>
      <w:pPr>
        <w:spacing w:after="0"/>
        <w:ind w:left="0"/>
        <w:jc w:val="left"/>
      </w:pPr>
      <w:r>
        <w:rPr>
          <w:rFonts w:ascii="Times New Roman"/>
          <w:b/>
          <w:i w:val="false"/>
          <w:color w:val="000000"/>
        </w:rPr>
        <w:t xml:space="preserve"> 7. Safety requirements for recyclng and disposal</w:t>
      </w:r>
    </w:p>
    <w:bookmarkEnd w:id="86"/>
    <w:bookmarkStart w:name="z90" w:id="87"/>
    <w:p>
      <w:pPr>
        <w:spacing w:after="0"/>
        <w:ind w:left="0"/>
        <w:jc w:val="both"/>
      </w:pPr>
      <w:r>
        <w:rPr>
          <w:rFonts w:ascii="Times New Roman"/>
          <w:b w:val="false"/>
          <w:i w:val="false"/>
          <w:color w:val="000000"/>
          <w:sz w:val="28"/>
        </w:rPr>
        <w:t xml:space="preserve">
      29. In the event that a biodiesel does not comply with the requirements of these technical regulations, biodiesel (hereinafter referred to as “Inappropriate Biodiesel” ) shall be be disposed of or destroyed. </w:t>
      </w:r>
    </w:p>
    <w:bookmarkEnd w:id="87"/>
    <w:bookmarkStart w:name="z91" w:id="88"/>
    <w:p>
      <w:pPr>
        <w:spacing w:after="0"/>
        <w:ind w:left="0"/>
        <w:jc w:val="both"/>
      </w:pPr>
      <w:r>
        <w:rPr>
          <w:rFonts w:ascii="Times New Roman"/>
          <w:b w:val="false"/>
          <w:i w:val="false"/>
          <w:color w:val="000000"/>
          <w:sz w:val="28"/>
        </w:rPr>
        <w:t>
      30. The decision to prohibit the production or turnover of biodiesel shall be taken by the state body that identified the dangerous products, in accordance with the competence and in the manner established by the legislation of the Republic of Kazakhstan.</w:t>
      </w:r>
    </w:p>
    <w:bookmarkEnd w:id="88"/>
    <w:bookmarkStart w:name="z92" w:id="89"/>
    <w:p>
      <w:pPr>
        <w:spacing w:after="0"/>
        <w:ind w:left="0"/>
        <w:jc w:val="both"/>
      </w:pPr>
      <w:r>
        <w:rPr>
          <w:rFonts w:ascii="Times New Roman"/>
          <w:b w:val="false"/>
          <w:i w:val="false"/>
          <w:color w:val="000000"/>
          <w:sz w:val="28"/>
        </w:rPr>
        <w:t>
      The manufacturer, seller (hereinafter referred to as the Owner) of the Inappropriate Biodiesel shall withdraw it from production or turnover for disposal or destruction on its own or on the basis of a prescription from state authorities.</w:t>
      </w:r>
    </w:p>
    <w:bookmarkEnd w:id="89"/>
    <w:bookmarkStart w:name="z93" w:id="90"/>
    <w:p>
      <w:pPr>
        <w:spacing w:after="0"/>
        <w:ind w:left="0"/>
        <w:jc w:val="both"/>
      </w:pPr>
      <w:r>
        <w:rPr>
          <w:rFonts w:ascii="Times New Roman"/>
          <w:b w:val="false"/>
          <w:i w:val="false"/>
          <w:color w:val="000000"/>
          <w:sz w:val="28"/>
        </w:rPr>
        <w:t xml:space="preserve">
      31. Inappropriate Biodiesel for the period necessary for the examination, adoption and execution of a decision on its further disposal or destruction shall be stored temporarily in the owner’s specially designated places subject to conditions that exclude access to it. Inappropriate biodiesel placed in temporary storage shall be subject to strict accounting by the Owner. </w:t>
      </w:r>
    </w:p>
    <w:bookmarkEnd w:id="90"/>
    <w:bookmarkStart w:name="z94" w:id="91"/>
    <w:p>
      <w:pPr>
        <w:spacing w:after="0"/>
        <w:ind w:left="0"/>
        <w:jc w:val="both"/>
      </w:pPr>
      <w:r>
        <w:rPr>
          <w:rFonts w:ascii="Times New Roman"/>
          <w:b w:val="false"/>
          <w:i w:val="false"/>
          <w:color w:val="000000"/>
          <w:sz w:val="28"/>
        </w:rPr>
        <w:t>
      32. Further use of the processed Inappropriate Biodiesel shall be only possible if the results of the confirmation procedure with compliance are positive.</w:t>
      </w:r>
    </w:p>
    <w:bookmarkEnd w:id="91"/>
    <w:bookmarkStart w:name="z95" w:id="92"/>
    <w:p>
      <w:pPr>
        <w:spacing w:after="0"/>
        <w:ind w:left="0"/>
        <w:jc w:val="both"/>
      </w:pPr>
      <w:r>
        <w:rPr>
          <w:rFonts w:ascii="Times New Roman"/>
          <w:b w:val="false"/>
          <w:i w:val="false"/>
          <w:color w:val="000000"/>
          <w:sz w:val="28"/>
        </w:rPr>
        <w:t xml:space="preserve">
      33. Destruction shall be carried out in compliance with the mandatory requirements of </w:t>
      </w:r>
      <w:r>
        <w:rPr>
          <w:rFonts w:ascii="Times New Roman"/>
          <w:b w:val="false"/>
          <w:i w:val="false"/>
          <w:color w:val="000000"/>
          <w:sz w:val="28"/>
        </w:rPr>
        <w:t>legislation</w:t>
      </w:r>
      <w:r>
        <w:rPr>
          <w:rFonts w:ascii="Times New Roman"/>
          <w:b w:val="false"/>
          <w:i w:val="false"/>
          <w:color w:val="000000"/>
          <w:sz w:val="28"/>
        </w:rPr>
        <w:t xml:space="preserve"> in the field of environmental protection and sanitary and epidemiological welfare of the population in a technically accessible way (thermal, chemical, mechanical or other effects), as a result of which Inappropriate Biodiesel shall be completely destroyed .</w:t>
      </w:r>
      <w:r>
        <w:rPr>
          <w:rFonts w:ascii="Times New Roman"/>
          <w:b w:val="false"/>
          <w:i w:val="false"/>
          <w:color w:val="000000"/>
          <w:sz w:val="28"/>
        </w:rPr>
        <w:t xml:space="preserve"> </w:t>
      </w:r>
    </w:p>
    <w:bookmarkEnd w:id="92"/>
    <w:bookmarkStart w:name="z96" w:id="93"/>
    <w:p>
      <w:pPr>
        <w:spacing w:after="0"/>
        <w:ind w:left="0"/>
        <w:jc w:val="both"/>
      </w:pPr>
      <w:r>
        <w:rPr>
          <w:rFonts w:ascii="Times New Roman"/>
          <w:b w:val="false"/>
          <w:i w:val="false"/>
          <w:color w:val="000000"/>
          <w:sz w:val="28"/>
        </w:rPr>
        <w:t>
      34. For the destruction of Inappropriate Biodiesel by the decision of local executive bodies, a Commission for the destruction of products shall be established with an indication of the timing of its work.</w:t>
      </w:r>
    </w:p>
    <w:bookmarkEnd w:id="93"/>
    <w:bookmarkStart w:name="z97" w:id="94"/>
    <w:p>
      <w:pPr>
        <w:spacing w:after="0"/>
        <w:ind w:left="0"/>
        <w:jc w:val="both"/>
      </w:pPr>
      <w:r>
        <w:rPr>
          <w:rFonts w:ascii="Times New Roman"/>
          <w:b w:val="false"/>
          <w:i w:val="false"/>
          <w:color w:val="000000"/>
          <w:sz w:val="28"/>
        </w:rPr>
        <w:t>
      35. The commission for the destruction of products shall include representatives of the authorized body in the field of biofuel production, the authorized body in the field of biofuel turnover, state sanitary and epidemiological surveillance, the authorized body in the field of environmental protection, non-governmental organizations and associations (unions) of private entrepreneurship entities.</w:t>
      </w:r>
    </w:p>
    <w:bookmarkEnd w:id="94"/>
    <w:bookmarkStart w:name="z98" w:id="95"/>
    <w:p>
      <w:pPr>
        <w:spacing w:after="0"/>
        <w:ind w:left="0"/>
        <w:jc w:val="both"/>
      </w:pPr>
      <w:r>
        <w:rPr>
          <w:rFonts w:ascii="Times New Roman"/>
          <w:b w:val="false"/>
          <w:i w:val="false"/>
          <w:color w:val="000000"/>
          <w:sz w:val="28"/>
        </w:rPr>
        <w:t>
      Prior to the decision by the commission, upon the initiative and expense of the Owner, an additional laboratory examination of biodiesel recognized as inappropriate one may be carried out in accredited laboratories.</w:t>
      </w:r>
    </w:p>
    <w:bookmarkEnd w:id="95"/>
    <w:bookmarkStart w:name="z99" w:id="96"/>
    <w:p>
      <w:pPr>
        <w:spacing w:after="0"/>
        <w:ind w:left="0"/>
        <w:jc w:val="both"/>
      </w:pPr>
      <w:r>
        <w:rPr>
          <w:rFonts w:ascii="Times New Roman"/>
          <w:b w:val="false"/>
          <w:i w:val="false"/>
          <w:color w:val="000000"/>
          <w:sz w:val="28"/>
        </w:rPr>
        <w:t>
      36. The commission shall draw up an act of destruction, which indicates: the date and place of drawing up the act, if necessary, the name of the offender who owns the product, the name and quantity of the product to be destroyed; method of destruction, time and place of destruction; surnames, first names, patronymics and positions of members of the commission.</w:t>
      </w:r>
    </w:p>
    <w:bookmarkEnd w:id="96"/>
    <w:bookmarkStart w:name="z100" w:id="97"/>
    <w:p>
      <w:pPr>
        <w:spacing w:after="0"/>
        <w:ind w:left="0"/>
        <w:jc w:val="both"/>
      </w:pPr>
      <w:r>
        <w:rPr>
          <w:rFonts w:ascii="Times New Roman"/>
          <w:b w:val="false"/>
          <w:i w:val="false"/>
          <w:color w:val="000000"/>
          <w:sz w:val="28"/>
        </w:rPr>
        <w:t>
      The act shall be signed by all members of the commission. In case of disagreement with the decision of the commission or lack of a signature, a statement shall be attached to the act with a justification of the reasons for the disagreement or lack of signature.</w:t>
      </w:r>
    </w:p>
    <w:bookmarkEnd w:id="97"/>
    <w:bookmarkStart w:name="z101" w:id="98"/>
    <w:p>
      <w:pPr>
        <w:spacing w:after="0"/>
        <w:ind w:left="0"/>
        <w:jc w:val="both"/>
      </w:pPr>
      <w:r>
        <w:rPr>
          <w:rFonts w:ascii="Times New Roman"/>
          <w:b w:val="false"/>
          <w:i w:val="false"/>
          <w:color w:val="000000"/>
          <w:sz w:val="28"/>
        </w:rPr>
        <w:t xml:space="preserve">
      37. Biodiesel representing a radiation hazard shall be subject to disposal in the manner prescribed by the </w:t>
      </w:r>
      <w:r>
        <w:rPr>
          <w:rFonts w:ascii="Times New Roman"/>
          <w:b w:val="false"/>
          <w:i w:val="false"/>
          <w:color w:val="000000"/>
          <w:sz w:val="28"/>
        </w:rPr>
        <w:t>legislation of the</w:t>
      </w:r>
      <w:r>
        <w:rPr>
          <w:rFonts w:ascii="Times New Roman"/>
          <w:b w:val="false"/>
          <w:i w:val="false"/>
          <w:color w:val="000000"/>
          <w:sz w:val="28"/>
        </w:rPr>
        <w:t xml:space="preserve"> Republic of Kazakhstan.</w:t>
      </w:r>
      <w:r>
        <w:rPr>
          <w:rFonts w:ascii="Times New Roman"/>
          <w:b w:val="false"/>
          <w:i w:val="false"/>
          <w:color w:val="000000"/>
          <w:sz w:val="28"/>
        </w:rPr>
        <w:t xml:space="preserve"> </w:t>
      </w:r>
    </w:p>
    <w:bookmarkEnd w:id="98"/>
    <w:bookmarkStart w:name="z102" w:id="99"/>
    <w:p>
      <w:pPr>
        <w:spacing w:after="0"/>
        <w:ind w:left="0"/>
        <w:jc w:val="left"/>
      </w:pPr>
      <w:r>
        <w:rPr>
          <w:rFonts w:ascii="Times New Roman"/>
          <w:b/>
          <w:i w:val="false"/>
          <w:color w:val="000000"/>
        </w:rPr>
        <w:t xml:space="preserve"> 8. Conformity assessment</w:t>
      </w:r>
    </w:p>
    <w:bookmarkEnd w:id="99"/>
    <w:bookmarkStart w:name="z103" w:id="100"/>
    <w:p>
      <w:pPr>
        <w:spacing w:after="0"/>
        <w:ind w:left="0"/>
        <w:jc w:val="both"/>
      </w:pPr>
      <w:r>
        <w:rPr>
          <w:rFonts w:ascii="Times New Roman"/>
          <w:b w:val="false"/>
          <w:i w:val="false"/>
          <w:color w:val="000000"/>
          <w:sz w:val="28"/>
        </w:rPr>
        <w:t>
      38. Biodiesel shall be subject to obligatory certification.</w:t>
      </w:r>
    </w:p>
    <w:bookmarkEnd w:id="100"/>
    <w:bookmarkStart w:name="z104" w:id="101"/>
    <w:p>
      <w:pPr>
        <w:spacing w:after="0"/>
        <w:ind w:left="0"/>
        <w:jc w:val="both"/>
      </w:pPr>
      <w:r>
        <w:rPr>
          <w:rFonts w:ascii="Times New Roman"/>
          <w:b w:val="false"/>
          <w:i w:val="false"/>
          <w:color w:val="000000"/>
          <w:sz w:val="28"/>
        </w:rPr>
        <w:t xml:space="preserve">
      39. The procedure and schemes for conformity assessment are established by </w:t>
      </w:r>
      <w:r>
        <w:rPr>
          <w:rFonts w:ascii="Times New Roman"/>
          <w:b w:val="false"/>
          <w:i w:val="false"/>
          <w:color w:val="000000"/>
          <w:sz w:val="28"/>
        </w:rPr>
        <w:t>Decree of the</w:t>
      </w:r>
      <w:r>
        <w:rPr>
          <w:rFonts w:ascii="Times New Roman"/>
          <w:b w:val="false"/>
          <w:i w:val="false"/>
          <w:color w:val="000000"/>
          <w:sz w:val="28"/>
        </w:rPr>
        <w:t xml:space="preserve"> Government of the Republic of Kazakhstan No. 90 dated February 4, 2008 "On Approval of the Technical Regulation “Procedure for Conformity Assessment”.</w:t>
      </w:r>
      <w:r>
        <w:rPr>
          <w:rFonts w:ascii="Times New Roman"/>
          <w:b w:val="false"/>
          <w:i w:val="false"/>
          <w:color w:val="000000"/>
          <w:sz w:val="28"/>
        </w:rPr>
        <w:t xml:space="preserve"> </w:t>
      </w:r>
    </w:p>
    <w:bookmarkEnd w:id="101"/>
    <w:bookmarkStart w:name="z105" w:id="102"/>
    <w:p>
      <w:pPr>
        <w:spacing w:after="0"/>
        <w:ind w:left="0"/>
        <w:jc w:val="left"/>
      </w:pPr>
      <w:r>
        <w:rPr>
          <w:rFonts w:ascii="Times New Roman"/>
          <w:b/>
          <w:i w:val="false"/>
          <w:color w:val="000000"/>
        </w:rPr>
        <w:t xml:space="preserve"> 9. Terms and conditions of implementation</w:t>
      </w:r>
    </w:p>
    <w:bookmarkEnd w:id="102"/>
    <w:bookmarkStart w:name="z106" w:id="103"/>
    <w:p>
      <w:pPr>
        <w:spacing w:after="0"/>
        <w:ind w:left="0"/>
        <w:jc w:val="both"/>
      </w:pPr>
      <w:r>
        <w:rPr>
          <w:rFonts w:ascii="Times New Roman"/>
          <w:b w:val="false"/>
          <w:i w:val="false"/>
          <w:color w:val="000000"/>
          <w:sz w:val="28"/>
        </w:rPr>
        <w:t>
      40. These Technical Regulations shall enter into force six months after the date of first official publication.</w:t>
      </w:r>
    </w:p>
    <w:bookmarkEnd w:id="103"/>
    <w:bookmarkStart w:name="z107" w:id="104"/>
    <w:p>
      <w:pPr>
        <w:spacing w:after="0"/>
        <w:ind w:left="0"/>
        <w:jc w:val="both"/>
      </w:pPr>
      <w:r>
        <w:rPr>
          <w:rFonts w:ascii="Times New Roman"/>
          <w:b w:val="false"/>
          <w:i w:val="false"/>
          <w:color w:val="000000"/>
          <w:sz w:val="28"/>
        </w:rPr>
        <w:t>
      41. Documents in the field of conformity confirmation issued before the entry into force of this Technical Regulation shall be considered valid until the expiration of their validity.</w:t>
      </w:r>
    </w:p>
    <w:bookmarkEnd w:id="104"/>
    <w:bookmarkStart w:name="z108" w:id="105"/>
    <w:p>
      <w:pPr>
        <w:spacing w:after="0"/>
        <w:ind w:left="0"/>
        <w:jc w:val="both"/>
      </w:pPr>
      <w:r>
        <w:rPr>
          <w:rFonts w:ascii="Times New Roman"/>
          <w:b w:val="false"/>
          <w:i w:val="false"/>
          <w:color w:val="000000"/>
          <w:sz w:val="28"/>
        </w:rPr>
        <w:t>
      42. From the moment this Technical Regulation comes into force, regulatory legal acts and normative and technical documentation in force on the territory of the Republic of Kazakhstan, until they are brought into compliance with this Technical Regulation, shall be applied to the extent not contradicting this Technical Regulation.</w:t>
      </w:r>
    </w:p>
    <w:bookmarkEnd w:id="105"/>
    <w:bookmarkStart w:name="z109" w:id="106"/>
    <w:p>
      <w:pPr>
        <w:spacing w:after="0"/>
        <w:ind w:left="0"/>
        <w:jc w:val="both"/>
      </w:pPr>
      <w:r>
        <w:rPr>
          <w:rFonts w:ascii="Times New Roman"/>
          <w:b w:val="false"/>
          <w:i w:val="false"/>
          <w:color w:val="000000"/>
          <w:sz w:val="28"/>
        </w:rPr>
        <w:t>
      43. Biodiesel produced before the entry into force of this Technical Regulation shall be sold before the expiration date.</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Technical Regulation </w:t>
            </w:r>
            <w:r>
              <w:br/>
            </w:r>
            <w:r>
              <w:rPr>
                <w:rFonts w:ascii="Times New Roman"/>
                <w:b w:val="false"/>
                <w:i w:val="false"/>
                <w:color w:val="000000"/>
                <w:sz w:val="20"/>
              </w:rPr>
              <w:t>“Biodiesel Safety Requirements”</w:t>
            </w:r>
          </w:p>
        </w:tc>
      </w:tr>
    </w:tbl>
    <w:p>
      <w:pPr>
        <w:spacing w:after="0"/>
        <w:ind w:left="0"/>
        <w:jc w:val="both"/>
      </w:pPr>
      <w:r>
        <w:rPr>
          <w:rFonts w:ascii="Times New Roman"/>
          <w:b w:val="false"/>
          <w:i w:val="false"/>
          <w:color w:val="000000"/>
          <w:sz w:val="28"/>
        </w:rPr>
        <w:t>
      Table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Flash point in a closed crucible, 0С, not less than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Kinematic viscosity, 40 </w:t>
            </w:r>
            <w:r>
              <w:rPr>
                <w:rFonts w:ascii="Times New Roman"/>
                <w:b w:val="false"/>
                <w:i w:val="false"/>
                <w:color w:val="000000"/>
                <w:vertAlign w:val="superscript"/>
              </w:rPr>
              <w:t xml:space="preserve">0 </w:t>
            </w:r>
            <w:r>
              <w:rPr>
                <w:rFonts w:ascii="Times New Roman"/>
                <w:b w:val="false"/>
                <w:i w:val="false"/>
                <w:color w:val="000000"/>
                <w:sz w:val="20"/>
              </w:rPr>
              <w:t xml:space="preserve">C, mm </w:t>
            </w:r>
            <w:r>
              <w:rPr>
                <w:rFonts w:ascii="Times New Roman"/>
                <w:b w:val="false"/>
                <w:i w:val="false"/>
                <w:color w:val="000000"/>
                <w:vertAlign w:val="superscript"/>
              </w:rPr>
              <w:t xml:space="preserve">2 </w:t>
            </w:r>
            <w:r>
              <w:rPr>
                <w:rFonts w:ascii="Times New Roman"/>
                <w:b w:val="false"/>
                <w:i w:val="false"/>
                <w:color w:val="000000"/>
                <w:sz w:val="20"/>
              </w:rPr>
              <w:t>/ 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1.9 and not more</w:t>
            </w:r>
          </w:p>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Cetane number, not less than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fraction of ash,%, no more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fraction of sulfur, mg / kg, no more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methyl esters,%, not less than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Acid number, Mg KOH / 100 cm </w:t>
            </w:r>
            <w:r>
              <w:rPr>
                <w:rFonts w:ascii="Times New Roman"/>
                <w:b w:val="false"/>
                <w:i w:val="false"/>
                <w:color w:val="000000"/>
                <w:vertAlign w:val="superscript"/>
              </w:rPr>
              <w:t xml:space="preserve">3 </w:t>
            </w:r>
            <w:r>
              <w:rPr>
                <w:rFonts w:ascii="Times New Roman"/>
                <w:b w:val="false"/>
                <w:i w:val="false"/>
                <w:color w:val="000000"/>
                <w:sz w:val="20"/>
              </w:rPr>
              <w:t>, no more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fraction of phosphorus,%, no more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fraction of moisture,%, no more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r>
        <w:rPr>
          <w:rFonts w:ascii="Times New Roman"/>
          <w:b w:val="false"/>
          <w:i w:val="false"/>
          <w:color w:val="000000"/>
          <w:sz w:val="28"/>
        </w:rPr>
        <w:t>
      Table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description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value</w:t>
            </w:r>
          </w:p>
          <w:p>
            <w:pPr>
              <w:spacing w:after="20"/>
              <w:ind w:left="20"/>
              <w:jc w:val="both"/>
            </w:pPr>
            <w:r>
              <w:rPr>
                <w:rFonts w:ascii="Times New Roman"/>
                <w:b w:val="false"/>
                <w:i w:val="false"/>
                <w:color w:val="000000"/>
                <w:sz w:val="20"/>
              </w:rPr>
              <w:t>
for biodiesel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value</w:t>
            </w:r>
          </w:p>
          <w:p>
            <w:pPr>
              <w:spacing w:after="20"/>
              <w:ind w:left="20"/>
              <w:jc w:val="both"/>
            </w:pPr>
            <w:r>
              <w:rPr>
                <w:rFonts w:ascii="Times New Roman"/>
                <w:b w:val="false"/>
                <w:i w:val="false"/>
                <w:color w:val="000000"/>
                <w:sz w:val="20"/>
              </w:rPr>
              <w:t>
for biodiesel class</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limit</w:t>
            </w:r>
          </w:p>
          <w:p>
            <w:pPr>
              <w:spacing w:after="20"/>
              <w:ind w:left="20"/>
              <w:jc w:val="both"/>
            </w:pPr>
            <w:r>
              <w:rPr>
                <w:rFonts w:ascii="Times New Roman"/>
                <w:b w:val="false"/>
                <w:i w:val="false"/>
                <w:color w:val="000000"/>
                <w:sz w:val="20"/>
              </w:rPr>
              <w:t xml:space="preserve">
filterability , ( </w:t>
            </w:r>
            <w:r>
              <w:rPr>
                <w:rFonts w:ascii="Times New Roman"/>
                <w:b w:val="false"/>
                <w:i w:val="false"/>
                <w:color w:val="000000"/>
                <w:vertAlign w:val="superscript"/>
              </w:rPr>
              <w:t xml:space="preserve">0 </w:t>
            </w:r>
            <w:r>
              <w:rPr>
                <w:rFonts w:ascii="Times New Roman"/>
                <w:b w:val="false"/>
                <w:i w:val="false"/>
                <w:color w:val="000000"/>
                <w:sz w:val="20"/>
              </w:rPr>
              <w:t>C), not</w:t>
            </w:r>
          </w:p>
          <w:p>
            <w:pPr>
              <w:spacing w:after="20"/>
              <w:ind w:left="20"/>
              <w:jc w:val="both"/>
            </w:pPr>
            <w:r>
              <w:rPr>
                <w:rFonts w:ascii="Times New Roman"/>
                <w:b w:val="false"/>
                <w:i w:val="false"/>
                <w:color w:val="000000"/>
                <w:sz w:val="20"/>
              </w:rPr>
              <w:t>
higher than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Technical Regulation </w:t>
            </w:r>
            <w:r>
              <w:br/>
            </w:r>
            <w:r>
              <w:rPr>
                <w:rFonts w:ascii="Times New Roman"/>
                <w:b w:val="false"/>
                <w:i w:val="false"/>
                <w:color w:val="000000"/>
                <w:sz w:val="20"/>
              </w:rPr>
              <w:t>“Biodiesel Safety Requirements”</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4704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704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Biodiesel sign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