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105a5" w14:textId="f7105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on common approaches to the application of information technologies in the activities of the customs services of the Member States of the Eurasian Economic Community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May 20, 2011 No. 551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The Government of the Republic of Kazakhstan </w:t>
      </w:r>
      <w:r>
        <w:rPr>
          <w:rFonts w:ascii="Times New Roman"/>
          <w:b/>
          <w:i w:val="false"/>
          <w:color w:val="000000"/>
          <w:sz w:val="28"/>
        </w:rPr>
        <w:t>RESOLVES</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 the agreement on common approaches to the application of information technologies in the activities of the customs services of the Member States of the Eurasian Economic Community, signed in Moscow on June 9, 2009.</w:t>
      </w:r>
    </w:p>
    <w:p>
      <w:pPr>
        <w:spacing w:after="0"/>
        <w:ind w:left="0"/>
        <w:jc w:val="both"/>
      </w:pPr>
      <w:r>
        <w:rPr>
          <w:rFonts w:ascii="Times New Roman"/>
          <w:b w:val="false"/>
          <w:i w:val="false"/>
          <w:color w:val="000000"/>
          <w:sz w:val="28"/>
        </w:rPr>
        <w:t>
      2. This resolution shall be enforced from the date of signing.</w:t>
      </w:r>
    </w:p>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AGREEMENT</w:t>
      </w:r>
      <w:r>
        <w:br/>
      </w:r>
      <w:r>
        <w:rPr>
          <w:rFonts w:ascii="Times New Roman"/>
          <w:b/>
          <w:i w:val="false"/>
          <w:color w:val="000000"/>
        </w:rPr>
        <w:t>a common approach to the use of information technology in the activities of the customs services of the Member States Eurasian Economic Community</w:t>
      </w:r>
    </w:p>
    <w:p>
      <w:pPr>
        <w:spacing w:after="0"/>
        <w:ind w:left="0"/>
        <w:jc w:val="both"/>
      </w:pPr>
      <w:r>
        <w:rPr>
          <w:rFonts w:ascii="Times New Roman"/>
          <w:b w:val="false"/>
          <w:i w:val="false"/>
          <w:color w:val="000000"/>
          <w:sz w:val="28"/>
        </w:rPr>
        <w:t>
      Governments of member states of the Eurasian Economic Community (EurAsEC), hereinafter referred to as the Parties,</w:t>
      </w:r>
    </w:p>
    <w:p>
      <w:pPr>
        <w:spacing w:after="0"/>
        <w:ind w:left="0"/>
        <w:jc w:val="both"/>
      </w:pPr>
      <w:r>
        <w:rPr>
          <w:rFonts w:ascii="Times New Roman"/>
          <w:b w:val="false"/>
          <w:i w:val="false"/>
          <w:color w:val="000000"/>
          <w:sz w:val="28"/>
        </w:rPr>
        <w:t xml:space="preserve">
      guided </w:t>
      </w:r>
      <w:r>
        <w:rPr>
          <w:rFonts w:ascii="Times New Roman"/>
          <w:b w:val="false"/>
          <w:i w:val="false"/>
          <w:color w:val="000000"/>
          <w:sz w:val="28"/>
        </w:rPr>
        <w:t>Treaty</w:t>
      </w:r>
      <w:r>
        <w:rPr>
          <w:rFonts w:ascii="Times New Roman"/>
          <w:b w:val="false"/>
          <w:i w:val="false"/>
          <w:color w:val="000000"/>
          <w:sz w:val="28"/>
        </w:rPr>
        <w:t xml:space="preserve"> on the Customs Union and the Common Economic Space of February 26, 1999 and </w:t>
      </w:r>
      <w:r>
        <w:rPr>
          <w:rFonts w:ascii="Times New Roman"/>
          <w:b w:val="false"/>
          <w:i w:val="false"/>
          <w:color w:val="000000"/>
          <w:sz w:val="28"/>
        </w:rPr>
        <w:t>Treaty</w:t>
      </w:r>
      <w:r>
        <w:rPr>
          <w:rFonts w:ascii="Times New Roman"/>
          <w:b w:val="false"/>
          <w:i w:val="false"/>
          <w:color w:val="000000"/>
          <w:sz w:val="28"/>
        </w:rPr>
        <w:t xml:space="preserve"> the establishment of the Eurasian Economic Community of October 10, 2000,</w:t>
      </w:r>
    </w:p>
    <w:p>
      <w:pPr>
        <w:spacing w:after="0"/>
        <w:ind w:left="0"/>
        <w:jc w:val="both"/>
      </w:pPr>
      <w:r>
        <w:rPr>
          <w:rFonts w:ascii="Times New Roman"/>
          <w:b w:val="false"/>
          <w:i w:val="false"/>
          <w:color w:val="000000"/>
          <w:sz w:val="28"/>
        </w:rPr>
        <w:t>
      seeking to ensure effective customs control of goods and vehicles moved across the borders of the Parties,</w:t>
      </w:r>
    </w:p>
    <w:p>
      <w:pPr>
        <w:spacing w:after="0"/>
        <w:ind w:left="0"/>
        <w:jc w:val="both"/>
      </w:pPr>
      <w:r>
        <w:rPr>
          <w:rFonts w:ascii="Times New Roman"/>
          <w:b w:val="false"/>
          <w:i w:val="false"/>
          <w:color w:val="000000"/>
          <w:sz w:val="28"/>
        </w:rPr>
        <w:t>
      Desiring to promote fair competition, macroeconomic stability and ensuring a coordinated fiscal, monetary, financial, monetary and customs policy of the Eurasian Economic Community,</w:t>
      </w:r>
    </w:p>
    <w:p>
      <w:pPr>
        <w:spacing w:after="0"/>
        <w:ind w:left="0"/>
        <w:jc w:val="both"/>
      </w:pPr>
      <w:r>
        <w:rPr>
          <w:rFonts w:ascii="Times New Roman"/>
          <w:b w:val="false"/>
          <w:i w:val="false"/>
          <w:color w:val="000000"/>
          <w:sz w:val="28"/>
        </w:rPr>
        <w:t>
      intending to speed up and simplify the movement of goods and vehicles across the territory of the member states of the Eurasian Economic Community, to ensure the safety of transportation of goods and vehicles and protection of economic interests of the States Parties, as well as to prevent illegal movement of goods and vehicles,</w:t>
      </w:r>
    </w:p>
    <w:p>
      <w:pPr>
        <w:spacing w:after="0"/>
        <w:ind w:left="0"/>
        <w:jc w:val="both"/>
      </w:pPr>
      <w:r>
        <w:rPr>
          <w:rFonts w:ascii="Times New Roman"/>
          <w:b w:val="false"/>
          <w:i w:val="false"/>
          <w:color w:val="000000"/>
          <w:sz w:val="28"/>
        </w:rPr>
        <w:t>
      We have agreed as follows:</w:t>
      </w:r>
    </w:p>
    <w:p>
      <w:pPr>
        <w:spacing w:after="0"/>
        <w:ind w:left="0"/>
        <w:jc w:val="both"/>
      </w:pPr>
      <w:r>
        <w:rPr>
          <w:rFonts w:ascii="Times New Roman"/>
          <w:b/>
          <w:i w:val="false"/>
          <w:color w:val="000000"/>
          <w:sz w:val="28"/>
        </w:rPr>
        <w:t>Article 1</w:t>
      </w:r>
    </w:p>
    <w:p>
      <w:pPr>
        <w:spacing w:after="0"/>
        <w:ind w:left="0"/>
        <w:jc w:val="both"/>
      </w:pPr>
      <w:r>
        <w:rPr>
          <w:rFonts w:ascii="Times New Roman"/>
          <w:b w:val="false"/>
          <w:i w:val="false"/>
          <w:color w:val="000000"/>
          <w:sz w:val="28"/>
        </w:rPr>
        <w:t>
      In this Agreement, the terms used in the following definitions:</w:t>
      </w:r>
    </w:p>
    <w:p>
      <w:pPr>
        <w:spacing w:after="0"/>
        <w:ind w:left="0"/>
        <w:jc w:val="both"/>
      </w:pPr>
      <w:r>
        <w:rPr>
          <w:rFonts w:ascii="Times New Roman"/>
          <w:b w:val="false"/>
          <w:i w:val="false"/>
          <w:color w:val="000000"/>
          <w:sz w:val="28"/>
        </w:rPr>
        <w:t>
      "Computerized system" - a system consisting of personnel and means of complex automation of activity of this personnel, implementing information technology implementation set functions;</w:t>
      </w:r>
    </w:p>
    <w:p>
      <w:pPr>
        <w:spacing w:after="0"/>
        <w:ind w:left="0"/>
        <w:jc w:val="both"/>
      </w:pPr>
      <w:r>
        <w:rPr>
          <w:rFonts w:ascii="Times New Roman"/>
          <w:b w:val="false"/>
          <w:i w:val="false"/>
          <w:color w:val="000000"/>
          <w:sz w:val="28"/>
        </w:rPr>
        <w:t>
      "Protection of information" - the adoption of legal, organizational and technical (software - technical) measures to ensure the integrity and security of information, prevent its unauthorized modification or destruction of, the confidentiality of restricted information, the right of access to information, as well as to prevent tampering means for processing, transmitting and storing information;</w:t>
      </w:r>
    </w:p>
    <w:p>
      <w:pPr>
        <w:spacing w:after="0"/>
        <w:ind w:left="0"/>
        <w:jc w:val="both"/>
      </w:pPr>
      <w:r>
        <w:rPr>
          <w:rFonts w:ascii="Times New Roman"/>
          <w:b w:val="false"/>
          <w:i w:val="false"/>
          <w:color w:val="000000"/>
          <w:sz w:val="28"/>
        </w:rPr>
        <w:t>
      "Information" - information on persons, objects, facts, events, phenomena and processes, regardless of the form of presentation;</w:t>
      </w:r>
    </w:p>
    <w:p>
      <w:pPr>
        <w:spacing w:after="0"/>
        <w:ind w:left="0"/>
        <w:jc w:val="both"/>
      </w:pPr>
      <w:r>
        <w:rPr>
          <w:rFonts w:ascii="Times New Roman"/>
          <w:b w:val="false"/>
          <w:i w:val="false"/>
          <w:color w:val="000000"/>
          <w:sz w:val="28"/>
        </w:rPr>
        <w:t>
      "Information resource" - a set of documented information (databases, other information arrays) contained in information systems;</w:t>
      </w:r>
    </w:p>
    <w:p>
      <w:pPr>
        <w:spacing w:after="0"/>
        <w:ind w:left="0"/>
        <w:jc w:val="both"/>
      </w:pPr>
      <w:r>
        <w:rPr>
          <w:rFonts w:ascii="Times New Roman"/>
          <w:b w:val="false"/>
          <w:i w:val="false"/>
          <w:color w:val="000000"/>
          <w:sz w:val="28"/>
        </w:rPr>
        <w:t>
      "Information system" - a set contained in the databases of information and ensuring its handling of information technologies and technical means;</w:t>
      </w:r>
    </w:p>
    <w:p>
      <w:pPr>
        <w:spacing w:after="0"/>
        <w:ind w:left="0"/>
        <w:jc w:val="both"/>
      </w:pPr>
      <w:r>
        <w:rPr>
          <w:rFonts w:ascii="Times New Roman"/>
          <w:b w:val="false"/>
          <w:i w:val="false"/>
          <w:color w:val="000000"/>
          <w:sz w:val="28"/>
        </w:rPr>
        <w:t>
      "Information Technology" - processes, methods of searching, gathering, storage, processing, service, information and ways to implement such processes and methods;</w:t>
      </w:r>
    </w:p>
    <w:p>
      <w:pPr>
        <w:spacing w:after="0"/>
        <w:ind w:left="0"/>
        <w:jc w:val="both"/>
      </w:pPr>
      <w:r>
        <w:rPr>
          <w:rFonts w:ascii="Times New Roman"/>
          <w:b w:val="false"/>
          <w:i w:val="false"/>
          <w:color w:val="000000"/>
          <w:sz w:val="28"/>
        </w:rPr>
        <w:t>
      "Information Telecommunications network" - the technological system for transmission over the communication lines of information which is accessed using a computer equipment;</w:t>
      </w:r>
    </w:p>
    <w:p>
      <w:pPr>
        <w:spacing w:after="0"/>
        <w:ind w:left="0"/>
        <w:jc w:val="both"/>
      </w:pPr>
      <w:r>
        <w:rPr>
          <w:rFonts w:ascii="Times New Roman"/>
          <w:b w:val="false"/>
          <w:i w:val="false"/>
          <w:color w:val="000000"/>
          <w:sz w:val="28"/>
        </w:rPr>
        <w:t>
      "Certification Authority" - a legal entity that performs certificate management functions of the signature key and the provision of other services in accordance with the laws of the State of each Party.</w:t>
      </w:r>
    </w:p>
    <w:p>
      <w:pPr>
        <w:spacing w:after="0"/>
        <w:ind w:left="0"/>
        <w:jc w:val="both"/>
      </w:pPr>
      <w:r>
        <w:rPr>
          <w:rFonts w:ascii="Times New Roman"/>
          <w:b/>
          <w:i w:val="false"/>
          <w:color w:val="000000"/>
          <w:sz w:val="28"/>
        </w:rPr>
        <w:t>Article 2</w:t>
      </w:r>
    </w:p>
    <w:p>
      <w:pPr>
        <w:spacing w:after="0"/>
        <w:ind w:left="0"/>
        <w:jc w:val="both"/>
      </w:pPr>
      <w:r>
        <w:rPr>
          <w:rFonts w:ascii="Times New Roman"/>
          <w:b w:val="false"/>
          <w:i w:val="false"/>
          <w:color w:val="000000"/>
          <w:sz w:val="28"/>
        </w:rPr>
        <w:t>
      The purpose of this Agreement is to develop a common approach to the use of information technologies in the activities of the customs services of the Parties for improving the effectiveness of the following tasks:</w:t>
      </w:r>
    </w:p>
    <w:p>
      <w:pPr>
        <w:spacing w:after="0"/>
        <w:ind w:left="0"/>
        <w:jc w:val="both"/>
      </w:pPr>
      <w:r>
        <w:rPr>
          <w:rFonts w:ascii="Times New Roman"/>
          <w:b w:val="false"/>
          <w:i w:val="false"/>
          <w:color w:val="000000"/>
          <w:sz w:val="28"/>
        </w:rPr>
        <w:t>
      ensuring openness and transparency mechanisms of customs clearance and customs control at the proper data protection;</w:t>
      </w:r>
    </w:p>
    <w:p>
      <w:pPr>
        <w:spacing w:after="0"/>
        <w:ind w:left="0"/>
        <w:jc w:val="both"/>
      </w:pPr>
      <w:r>
        <w:rPr>
          <w:rFonts w:ascii="Times New Roman"/>
          <w:b w:val="false"/>
          <w:i w:val="false"/>
          <w:color w:val="000000"/>
          <w:sz w:val="28"/>
        </w:rPr>
        <w:t>
      reducing the time of customs clearance and customs control;</w:t>
      </w:r>
    </w:p>
    <w:p>
      <w:pPr>
        <w:spacing w:after="0"/>
        <w:ind w:left="0"/>
        <w:jc w:val="both"/>
      </w:pPr>
      <w:r>
        <w:rPr>
          <w:rFonts w:ascii="Times New Roman"/>
          <w:b w:val="false"/>
          <w:i w:val="false"/>
          <w:color w:val="000000"/>
          <w:sz w:val="28"/>
        </w:rPr>
        <w:t>
      creating conditions to facilitate customs control procedures at the state borders of the Parties, as well as for the organization of joint customs control at checkpoints across the state borders of the Parties;</w:t>
      </w:r>
    </w:p>
    <w:p>
      <w:pPr>
        <w:spacing w:after="0"/>
        <w:ind w:left="0"/>
        <w:jc w:val="both"/>
      </w:pPr>
      <w:r>
        <w:rPr>
          <w:rFonts w:ascii="Times New Roman"/>
          <w:b w:val="false"/>
          <w:i w:val="false"/>
          <w:color w:val="000000"/>
          <w:sz w:val="28"/>
        </w:rPr>
        <w:t>
      Integration of Information Resources of Customs Services of the Parties on the basis of information exchange;</w:t>
      </w:r>
    </w:p>
    <w:p>
      <w:pPr>
        <w:spacing w:after="0"/>
        <w:ind w:left="0"/>
        <w:jc w:val="both"/>
      </w:pPr>
      <w:r>
        <w:rPr>
          <w:rFonts w:ascii="Times New Roman"/>
          <w:b w:val="false"/>
          <w:i w:val="false"/>
          <w:color w:val="000000"/>
          <w:sz w:val="28"/>
        </w:rPr>
        <w:t>
      ensuring information compatibility Automated Systems of Customs Services of the Parties;</w:t>
      </w:r>
    </w:p>
    <w:p>
      <w:pPr>
        <w:spacing w:after="0"/>
        <w:ind w:left="0"/>
        <w:jc w:val="both"/>
      </w:pPr>
      <w:r>
        <w:rPr>
          <w:rFonts w:ascii="Times New Roman"/>
          <w:b w:val="false"/>
          <w:i w:val="false"/>
          <w:color w:val="000000"/>
          <w:sz w:val="28"/>
        </w:rPr>
        <w:t>
      increase the speed of information exchange between customs services of the Parties.</w:t>
      </w:r>
    </w:p>
    <w:p>
      <w:pPr>
        <w:spacing w:after="0"/>
        <w:ind w:left="0"/>
        <w:jc w:val="both"/>
      </w:pPr>
      <w:r>
        <w:rPr>
          <w:rFonts w:ascii="Times New Roman"/>
          <w:b/>
          <w:i w:val="false"/>
          <w:color w:val="000000"/>
          <w:sz w:val="28"/>
        </w:rPr>
        <w:t>Article 3</w:t>
      </w:r>
    </w:p>
    <w:p>
      <w:pPr>
        <w:spacing w:after="0"/>
        <w:ind w:left="0"/>
        <w:jc w:val="both"/>
      </w:pPr>
      <w:r>
        <w:rPr>
          <w:rFonts w:ascii="Times New Roman"/>
          <w:b w:val="false"/>
          <w:i w:val="false"/>
          <w:color w:val="000000"/>
          <w:sz w:val="28"/>
        </w:rPr>
        <w:t>
      To develop common approaches to the use of information technologies of Customs Services of the Parties to jointly solve the following problems:</w:t>
      </w:r>
    </w:p>
    <w:p>
      <w:pPr>
        <w:spacing w:after="0"/>
        <w:ind w:left="0"/>
        <w:jc w:val="both"/>
      </w:pPr>
      <w:r>
        <w:rPr>
          <w:rFonts w:ascii="Times New Roman"/>
          <w:b w:val="false"/>
          <w:i w:val="false"/>
          <w:color w:val="000000"/>
          <w:sz w:val="28"/>
        </w:rPr>
        <w:t>
      preparation of proposals on improvement of legislation of the state of each of the Parties and the international treaties in the framework of the Eurasian Economic Community in the field of information technology the customs authorities of the Parties, taking into account international practice;</w:t>
      </w:r>
    </w:p>
    <w:p>
      <w:pPr>
        <w:spacing w:after="0"/>
        <w:ind w:left="0"/>
        <w:jc w:val="both"/>
      </w:pPr>
      <w:r>
        <w:rPr>
          <w:rFonts w:ascii="Times New Roman"/>
          <w:b w:val="false"/>
          <w:i w:val="false"/>
          <w:color w:val="000000"/>
          <w:sz w:val="28"/>
        </w:rPr>
        <w:t>
      development of the procedure of forming and using information resources of the customs services and the requirements for documentation of the information contained in the information resources administered by the Customs Services of the Parties;</w:t>
      </w:r>
    </w:p>
    <w:p>
      <w:pPr>
        <w:spacing w:after="0"/>
        <w:ind w:left="0"/>
        <w:jc w:val="both"/>
      </w:pPr>
      <w:r>
        <w:rPr>
          <w:rFonts w:ascii="Times New Roman"/>
          <w:b w:val="false"/>
          <w:i w:val="false"/>
          <w:color w:val="000000"/>
          <w:sz w:val="28"/>
        </w:rPr>
        <w:t>
      development of an integrated information and telecommunications network, providing effective information interaction of Customs Services of the Parties, taking into account the operation of certification authorities;</w:t>
      </w:r>
    </w:p>
    <w:p>
      <w:pPr>
        <w:spacing w:after="0"/>
        <w:ind w:left="0"/>
        <w:jc w:val="both"/>
      </w:pPr>
      <w:r>
        <w:rPr>
          <w:rFonts w:ascii="Times New Roman"/>
          <w:b w:val="false"/>
          <w:i w:val="false"/>
          <w:color w:val="000000"/>
          <w:sz w:val="28"/>
        </w:rPr>
        <w:t>
      order to develop and use conditions for customs purposes of information systems, information technology and to support them;</w:t>
      </w:r>
    </w:p>
    <w:p>
      <w:pPr>
        <w:spacing w:after="0"/>
        <w:ind w:left="0"/>
        <w:jc w:val="both"/>
      </w:pPr>
      <w:r>
        <w:rPr>
          <w:rFonts w:ascii="Times New Roman"/>
          <w:b w:val="false"/>
          <w:i w:val="false"/>
          <w:color w:val="000000"/>
          <w:sz w:val="28"/>
        </w:rPr>
        <w:t>
      forming a unified classification and encoding information necessary to implement information interaction customs services of Parties;</w:t>
      </w:r>
    </w:p>
    <w:p>
      <w:pPr>
        <w:spacing w:after="0"/>
        <w:ind w:left="0"/>
        <w:jc w:val="both"/>
      </w:pPr>
      <w:r>
        <w:rPr>
          <w:rFonts w:ascii="Times New Roman"/>
          <w:b w:val="false"/>
          <w:i w:val="false"/>
          <w:color w:val="000000"/>
          <w:sz w:val="28"/>
        </w:rPr>
        <w:t>
      Information security activities of the customs services of the Parties;</w:t>
      </w:r>
    </w:p>
    <w:p>
      <w:pPr>
        <w:spacing w:after="0"/>
        <w:ind w:left="0"/>
        <w:jc w:val="both"/>
      </w:pPr>
      <w:r>
        <w:rPr>
          <w:rFonts w:ascii="Times New Roman"/>
          <w:b w:val="false"/>
          <w:i w:val="false"/>
          <w:color w:val="000000"/>
          <w:sz w:val="28"/>
        </w:rPr>
        <w:t>
      coordination of work and consultation on the creation of new information systems for the Customs Services of the Parties.</w:t>
      </w:r>
    </w:p>
    <w:p>
      <w:pPr>
        <w:spacing w:after="0"/>
        <w:ind w:left="0"/>
        <w:jc w:val="both"/>
      </w:pPr>
      <w:r>
        <w:rPr>
          <w:rFonts w:ascii="Times New Roman"/>
          <w:b/>
          <w:i w:val="false"/>
          <w:color w:val="000000"/>
          <w:sz w:val="28"/>
        </w:rPr>
        <w:t>Article 4</w:t>
      </w:r>
    </w:p>
    <w:p>
      <w:pPr>
        <w:spacing w:after="0"/>
        <w:ind w:left="0"/>
        <w:jc w:val="both"/>
      </w:pPr>
      <w:r>
        <w:rPr>
          <w:rFonts w:ascii="Times New Roman"/>
          <w:b w:val="false"/>
          <w:i w:val="false"/>
          <w:color w:val="000000"/>
          <w:sz w:val="28"/>
        </w:rPr>
        <w:t>
      Exchange of information Customs Services of the Parties shall within the scope of their competence and in accordance with the legislation of each Party.</w:t>
      </w:r>
    </w:p>
    <w:p>
      <w:pPr>
        <w:spacing w:after="0"/>
        <w:ind w:left="0"/>
        <w:jc w:val="both"/>
      </w:pPr>
      <w:r>
        <w:rPr>
          <w:rFonts w:ascii="Times New Roman"/>
          <w:b/>
          <w:i w:val="false"/>
          <w:color w:val="000000"/>
          <w:sz w:val="28"/>
        </w:rPr>
        <w:t>Article 5</w:t>
      </w:r>
    </w:p>
    <w:p>
      <w:pPr>
        <w:spacing w:after="0"/>
        <w:ind w:left="0"/>
        <w:jc w:val="both"/>
      </w:pPr>
      <w:r>
        <w:rPr>
          <w:rFonts w:ascii="Times New Roman"/>
          <w:b w:val="false"/>
          <w:i w:val="false"/>
          <w:color w:val="000000"/>
          <w:sz w:val="28"/>
        </w:rPr>
        <w:t>
      To ensure access to information on customs regulation at the international level and sharing in solving problems faced by the customs authorities of the Parties, the Parties shall take measures for the integration of information resources and the definition of authorized persons who have regulated access to them.</w:t>
      </w:r>
    </w:p>
    <w:p>
      <w:pPr>
        <w:spacing w:after="0"/>
        <w:ind w:left="0"/>
        <w:jc w:val="both"/>
      </w:pPr>
      <w:r>
        <w:rPr>
          <w:rFonts w:ascii="Times New Roman"/>
          <w:b/>
          <w:i w:val="false"/>
          <w:color w:val="000000"/>
          <w:sz w:val="28"/>
        </w:rPr>
        <w:t>Article 6</w:t>
      </w:r>
    </w:p>
    <w:p>
      <w:pPr>
        <w:spacing w:after="0"/>
        <w:ind w:left="0"/>
        <w:jc w:val="both"/>
      </w:pPr>
      <w:r>
        <w:rPr>
          <w:rFonts w:ascii="Times New Roman"/>
          <w:b w:val="false"/>
          <w:i w:val="false"/>
          <w:color w:val="000000"/>
          <w:sz w:val="28"/>
        </w:rPr>
        <w:t>
      Integrated information-telecommunication network of the customs services of the Parties is designed to:</w:t>
      </w:r>
    </w:p>
    <w:p>
      <w:pPr>
        <w:spacing w:after="0"/>
        <w:ind w:left="0"/>
        <w:jc w:val="both"/>
      </w:pPr>
      <w:r>
        <w:rPr>
          <w:rFonts w:ascii="Times New Roman"/>
          <w:b w:val="false"/>
          <w:i w:val="false"/>
          <w:color w:val="000000"/>
          <w:sz w:val="28"/>
        </w:rPr>
        <w:t>
      Use Customs Services of the Parties of modern telecommunication services complex;</w:t>
      </w:r>
    </w:p>
    <w:p>
      <w:pPr>
        <w:spacing w:after="0"/>
        <w:ind w:left="0"/>
        <w:jc w:val="both"/>
      </w:pPr>
      <w:r>
        <w:rPr>
          <w:rFonts w:ascii="Times New Roman"/>
          <w:b w:val="false"/>
          <w:i w:val="false"/>
          <w:color w:val="000000"/>
          <w:sz w:val="28"/>
        </w:rPr>
        <w:t>
      Unification of technical solutions used in the information interaction of Customs Services of the Parties;</w:t>
      </w:r>
    </w:p>
    <w:p>
      <w:pPr>
        <w:spacing w:after="0"/>
        <w:ind w:left="0"/>
        <w:jc w:val="both"/>
      </w:pPr>
      <w:r>
        <w:rPr>
          <w:rFonts w:ascii="Times New Roman"/>
          <w:b w:val="false"/>
          <w:i w:val="false"/>
          <w:color w:val="000000"/>
          <w:sz w:val="28"/>
        </w:rPr>
        <w:t>
      providing connection information and telecommunication networks for the purpose of high quality and reliable transmission of information between customs services of the Parties;</w:t>
      </w:r>
    </w:p>
    <w:p>
      <w:pPr>
        <w:spacing w:after="0"/>
        <w:ind w:left="0"/>
        <w:jc w:val="both"/>
      </w:pPr>
      <w:r>
        <w:rPr>
          <w:rFonts w:ascii="Times New Roman"/>
          <w:b w:val="false"/>
          <w:i w:val="false"/>
          <w:color w:val="000000"/>
          <w:sz w:val="28"/>
        </w:rPr>
        <w:t>
      of the customs services of each of the parties access to information resources of the customs services of other Parties.</w:t>
      </w:r>
    </w:p>
    <w:p>
      <w:pPr>
        <w:spacing w:after="0"/>
        <w:ind w:left="0"/>
        <w:jc w:val="both"/>
      </w:pPr>
      <w:r>
        <w:rPr>
          <w:rFonts w:ascii="Times New Roman"/>
          <w:b/>
          <w:i w:val="false"/>
          <w:color w:val="000000"/>
          <w:sz w:val="28"/>
        </w:rPr>
        <w:t>Article 7</w:t>
      </w:r>
    </w:p>
    <w:p>
      <w:pPr>
        <w:spacing w:after="0"/>
        <w:ind w:left="0"/>
        <w:jc w:val="both"/>
      </w:pPr>
      <w:r>
        <w:rPr>
          <w:rFonts w:ascii="Times New Roman"/>
          <w:b w:val="false"/>
          <w:i w:val="false"/>
          <w:color w:val="000000"/>
          <w:sz w:val="28"/>
        </w:rPr>
        <w:t>
      The order of information interaction of Customs Services of the Parties and the recognition of the Parties to the validity of electronic documents are determined by a separate agreement of the Parties.</w:t>
      </w:r>
    </w:p>
    <w:p>
      <w:pPr>
        <w:spacing w:after="0"/>
        <w:ind w:left="0"/>
        <w:jc w:val="both"/>
      </w:pPr>
      <w:r>
        <w:rPr>
          <w:rFonts w:ascii="Times New Roman"/>
          <w:b/>
          <w:i w:val="false"/>
          <w:color w:val="000000"/>
          <w:sz w:val="28"/>
        </w:rPr>
        <w:t>Article 8</w:t>
      </w:r>
    </w:p>
    <w:p>
      <w:pPr>
        <w:spacing w:after="0"/>
        <w:ind w:left="0"/>
        <w:jc w:val="both"/>
      </w:pPr>
      <w:r>
        <w:rPr>
          <w:rFonts w:ascii="Times New Roman"/>
          <w:b w:val="false"/>
          <w:i w:val="false"/>
          <w:color w:val="000000"/>
          <w:sz w:val="28"/>
        </w:rPr>
        <w:t>
      Parties to ensure the confidentiality of the information received according to the agreement.</w:t>
      </w:r>
    </w:p>
    <w:p>
      <w:pPr>
        <w:spacing w:after="0"/>
        <w:ind w:left="0"/>
        <w:jc w:val="both"/>
      </w:pPr>
      <w:r>
        <w:rPr>
          <w:rFonts w:ascii="Times New Roman"/>
          <w:b w:val="false"/>
          <w:i w:val="false"/>
          <w:color w:val="000000"/>
          <w:sz w:val="28"/>
        </w:rPr>
        <w:t>
      The Parties shall use the information obtained by the customs services of the Parties, in accordance with this Agreement, for customs purposes, and can not transmit it to third parties without the written consent of the providing information.</w:t>
      </w:r>
    </w:p>
    <w:p>
      <w:pPr>
        <w:spacing w:after="0"/>
        <w:ind w:left="0"/>
        <w:jc w:val="both"/>
      </w:pPr>
      <w:r>
        <w:rPr>
          <w:rFonts w:ascii="Times New Roman"/>
          <w:b/>
          <w:i w:val="false"/>
          <w:color w:val="000000"/>
          <w:sz w:val="28"/>
        </w:rPr>
        <w:t>Article 9</w:t>
      </w:r>
    </w:p>
    <w:p>
      <w:pPr>
        <w:spacing w:after="0"/>
        <w:ind w:left="0"/>
        <w:jc w:val="both"/>
      </w:pPr>
      <w:r>
        <w:rPr>
          <w:rFonts w:ascii="Times New Roman"/>
          <w:b w:val="false"/>
          <w:i w:val="false"/>
          <w:color w:val="000000"/>
          <w:sz w:val="28"/>
        </w:rPr>
        <w:t>
      The Parties shall ensure the protection of information in automated systems, information resources and information and telecommunications networks, used in the customs services of the Parties, through the use of certified in accordance with the laws of the state of each of the means of information protection of the Parties against unauthorized access to or alteration in the transmission of information over networks communication open use, as well as from the impact of cyber attacks and viruses.</w:t>
      </w:r>
    </w:p>
    <w:p>
      <w:pPr>
        <w:spacing w:after="0"/>
        <w:ind w:left="0"/>
        <w:jc w:val="both"/>
      </w:pPr>
      <w:r>
        <w:rPr>
          <w:rFonts w:ascii="Times New Roman"/>
          <w:b w:val="false"/>
          <w:i w:val="false"/>
          <w:color w:val="000000"/>
          <w:sz w:val="28"/>
        </w:rPr>
        <w:t>
      Customs Services of the Parties draw up a list of certified relevant services of protection of information resources of the Parties.</w:t>
      </w:r>
    </w:p>
    <w:p>
      <w:pPr>
        <w:spacing w:after="0"/>
        <w:ind w:left="0"/>
        <w:jc w:val="both"/>
      </w:pPr>
      <w:r>
        <w:rPr>
          <w:rFonts w:ascii="Times New Roman"/>
          <w:b/>
          <w:i w:val="false"/>
          <w:color w:val="000000"/>
          <w:sz w:val="28"/>
        </w:rPr>
        <w:t>Article 10</w:t>
      </w:r>
    </w:p>
    <w:p>
      <w:pPr>
        <w:spacing w:after="0"/>
        <w:ind w:left="0"/>
        <w:jc w:val="both"/>
      </w:pPr>
      <w:r>
        <w:rPr>
          <w:rFonts w:ascii="Times New Roman"/>
          <w:b w:val="false"/>
          <w:i w:val="false"/>
          <w:color w:val="000000"/>
          <w:sz w:val="28"/>
        </w:rPr>
        <w:t>
      Customs Services of the Parties in accordance with their national legislation ensure the protection of intellectual property by using software and hardware and information technology obtained in the course of interaction.</w:t>
      </w:r>
    </w:p>
    <w:p>
      <w:pPr>
        <w:spacing w:after="0"/>
        <w:ind w:left="0"/>
        <w:jc w:val="both"/>
      </w:pPr>
      <w:r>
        <w:rPr>
          <w:rFonts w:ascii="Times New Roman"/>
          <w:b/>
          <w:i w:val="false"/>
          <w:color w:val="000000"/>
          <w:sz w:val="28"/>
        </w:rPr>
        <w:t>Article 11</w:t>
      </w:r>
    </w:p>
    <w:p>
      <w:pPr>
        <w:spacing w:after="0"/>
        <w:ind w:left="0"/>
        <w:jc w:val="both"/>
      </w:pPr>
      <w:r>
        <w:rPr>
          <w:rFonts w:ascii="Times New Roman"/>
          <w:b w:val="false"/>
          <w:i w:val="false"/>
          <w:color w:val="000000"/>
          <w:sz w:val="28"/>
        </w:rPr>
        <w:t>
      In order to improve the efficiency of management of information technology implementation and use of the process of the customs services of the Parties carry out constant monitoring of the use of information technology and form proposals for adjustment of the state policy in the field of information technologies in the activities of the customs services of the Parties.</w:t>
      </w:r>
    </w:p>
    <w:p>
      <w:pPr>
        <w:spacing w:after="0"/>
        <w:ind w:left="0"/>
        <w:jc w:val="both"/>
      </w:pPr>
      <w:r>
        <w:rPr>
          <w:rFonts w:ascii="Times New Roman"/>
          <w:b/>
          <w:i w:val="false"/>
          <w:color w:val="000000"/>
          <w:sz w:val="28"/>
        </w:rPr>
        <w:t>Article 12</w:t>
      </w:r>
    </w:p>
    <w:p>
      <w:pPr>
        <w:spacing w:after="0"/>
        <w:ind w:left="0"/>
        <w:jc w:val="both"/>
      </w:pPr>
      <w:r>
        <w:rPr>
          <w:rFonts w:ascii="Times New Roman"/>
          <w:b w:val="false"/>
          <w:i w:val="false"/>
          <w:color w:val="000000"/>
          <w:sz w:val="28"/>
        </w:rPr>
        <w:t>
      Disputes and disagreements between the Parties concerning the interpretation and application of the provisions of this Agreement, the Parties shall be resolved through negotiations and consultations. In case of failure to reach agreement, the dispute is transferred to any of the Parties concerned to the Court of the Eurasian Economic Community.</w:t>
      </w:r>
    </w:p>
    <w:p>
      <w:pPr>
        <w:spacing w:after="0"/>
        <w:ind w:left="0"/>
        <w:jc w:val="both"/>
      </w:pPr>
      <w:r>
        <w:rPr>
          <w:rFonts w:ascii="Times New Roman"/>
          <w:b/>
          <w:i w:val="false"/>
          <w:color w:val="000000"/>
          <w:sz w:val="28"/>
        </w:rPr>
        <w:t>Article 13</w:t>
      </w:r>
    </w:p>
    <w:p>
      <w:pPr>
        <w:spacing w:after="0"/>
        <w:ind w:left="0"/>
        <w:jc w:val="both"/>
      </w:pPr>
      <w:r>
        <w:rPr>
          <w:rFonts w:ascii="Times New Roman"/>
          <w:b w:val="false"/>
          <w:i w:val="false"/>
          <w:color w:val="000000"/>
          <w:sz w:val="28"/>
        </w:rPr>
        <w:t xml:space="preserve">
      By mutual agreement of the Parties may amend this Agreement, which separate protocols and shall enter into force in the manner prescribed </w:t>
      </w:r>
      <w:r>
        <w:rPr>
          <w:rFonts w:ascii="Times New Roman"/>
          <w:b w:val="false"/>
          <w:i w:val="false"/>
          <w:color w:val="000000"/>
          <w:sz w:val="28"/>
        </w:rPr>
        <w:t>Article 15</w:t>
      </w:r>
      <w:r>
        <w:rPr>
          <w:rFonts w:ascii="Times New Roman"/>
          <w:b w:val="false"/>
          <w:i w:val="false"/>
          <w:color w:val="000000"/>
          <w:sz w:val="28"/>
        </w:rPr>
        <w:t xml:space="preserve"> present agreement.</w:t>
      </w:r>
    </w:p>
    <w:p>
      <w:pPr>
        <w:spacing w:after="0"/>
        <w:ind w:left="0"/>
        <w:jc w:val="both"/>
      </w:pPr>
      <w:r>
        <w:rPr>
          <w:rFonts w:ascii="Times New Roman"/>
          <w:b/>
          <w:i w:val="false"/>
          <w:color w:val="000000"/>
          <w:sz w:val="28"/>
        </w:rPr>
        <w:t>Article 14</w:t>
      </w:r>
    </w:p>
    <w:p>
      <w:pPr>
        <w:spacing w:after="0"/>
        <w:ind w:left="0"/>
        <w:jc w:val="both"/>
      </w:pPr>
      <w:r>
        <w:rPr>
          <w:rFonts w:ascii="Times New Roman"/>
          <w:b w:val="false"/>
          <w:i w:val="false"/>
          <w:color w:val="000000"/>
          <w:sz w:val="28"/>
        </w:rPr>
        <w:t>
      After the entry into force, this Agreement shall be open for accession by other states that joined the Eurasian Economic Community. The instruments of accession to this Agreement shall be deposited with the depositary.</w:t>
      </w:r>
    </w:p>
    <w:p>
      <w:pPr>
        <w:spacing w:after="0"/>
        <w:ind w:left="0"/>
        <w:jc w:val="both"/>
      </w:pPr>
      <w:r>
        <w:rPr>
          <w:rFonts w:ascii="Times New Roman"/>
          <w:b w:val="false"/>
          <w:i w:val="false"/>
          <w:color w:val="000000"/>
          <w:sz w:val="28"/>
        </w:rPr>
        <w:t>
      In relation to an acceding State, this Agreement shall enter into force from the date of receipt by the depositary of an instrument of accession.</w:t>
      </w:r>
    </w:p>
    <w:p>
      <w:pPr>
        <w:spacing w:after="0"/>
        <w:ind w:left="0"/>
        <w:jc w:val="both"/>
      </w:pPr>
      <w:r>
        <w:rPr>
          <w:rFonts w:ascii="Times New Roman"/>
          <w:b/>
          <w:i w:val="false"/>
          <w:color w:val="000000"/>
          <w:sz w:val="28"/>
        </w:rPr>
        <w:t>Article 15</w:t>
      </w:r>
    </w:p>
    <w:p>
      <w:pPr>
        <w:spacing w:after="0"/>
        <w:ind w:left="0"/>
        <w:jc w:val="both"/>
      </w:pPr>
      <w:r>
        <w:rPr>
          <w:rFonts w:ascii="Times New Roman"/>
          <w:b w:val="false"/>
          <w:i w:val="false"/>
          <w:color w:val="000000"/>
          <w:sz w:val="28"/>
        </w:rPr>
        <w:t>
      This Agreement shall enter into force from the date of receipt by the depositary, which is the Integration Committee of the Eurasian Economic Community, the latter written reference on fulfillment by the Parties of internal procedures necessary for its entry into force.</w:t>
      </w:r>
    </w:p>
    <w:p>
      <w:pPr>
        <w:spacing w:after="0"/>
        <w:ind w:left="0"/>
        <w:jc w:val="both"/>
      </w:pPr>
      <w:r>
        <w:rPr>
          <w:rFonts w:ascii="Times New Roman"/>
          <w:b w:val="false"/>
          <w:i w:val="false"/>
          <w:color w:val="000000"/>
          <w:sz w:val="28"/>
        </w:rPr>
        <w:t>
      This Agreement is concluded for an indefinite period. Any Party may withdraw from this Agreement by giving written notice to the depositary. This Agreement shall be terminated for such Party after 12 months from the date of receipt of written notification by the depositary. Commitment to protect the information received according to the agreement, remain in effect regardless of its termination or exit of any of the parties therefrom.</w:t>
      </w:r>
    </w:p>
    <w:p>
      <w:pPr>
        <w:spacing w:after="0"/>
        <w:ind w:left="0"/>
        <w:jc w:val="both"/>
      </w:pPr>
      <w:r>
        <w:rPr>
          <w:rFonts w:ascii="Times New Roman"/>
          <w:b w:val="false"/>
          <w:i w:val="false"/>
          <w:color w:val="000000"/>
          <w:sz w:val="28"/>
        </w:rPr>
        <w:t>
      Done in Moscow on June 9, 2009 in one original copy in Russian.</w:t>
      </w:r>
    </w:p>
    <w:p>
      <w:pPr>
        <w:spacing w:after="0"/>
        <w:ind w:left="0"/>
        <w:jc w:val="both"/>
      </w:pPr>
      <w:r>
        <w:rPr>
          <w:rFonts w:ascii="Times New Roman"/>
          <w:b w:val="false"/>
          <w:i w:val="false"/>
          <w:color w:val="000000"/>
          <w:sz w:val="28"/>
        </w:rPr>
        <w:t>
      The original copy is kept by the depositary, which shall send a certified copy to Parties.</w:t>
      </w:r>
    </w:p>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Behind</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Behind</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Behind</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Government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Government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Government</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Kyrgyz</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Belarus</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Kazakhstan</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Behind</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Behind</w:t>
            </w:r>
          </w:p>
        </w:tc>
        <w:tc>
          <w:tcPr>
            <w:tcW w:w="41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Government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Government</w:t>
            </w:r>
          </w:p>
        </w:tc>
        <w:tc>
          <w:tcPr>
            <w:tcW w:w="41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Russian</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w:t>
            </w:r>
          </w:p>
        </w:tc>
        <w:tc>
          <w:tcPr>
            <w:tcW w:w="41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Federation</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Tajikistan</w:t>
            </w:r>
          </w:p>
        </w:tc>
        <w:tc>
          <w:tcPr>
            <w:tcW w:w="41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hereby certify that the text is complete and authentic copy of the original Agreement on common approaches to the application of information technologies in the activities of the customs services of the Member States of the Eurasian Economic Community dated June 9, 2009, signed by the Republic of Belarus - The Prime Minister of the Republic of Belarus SS Sidorsky from the Government of the Republic of Kazakhstan - The Prime Minister of Kazakhstan Karim Masimov, from the Government of the Kyrgyz Republic - Prime Minister of the Kyrgyz Republic Chudinov m IV, from the Russian Federation - Chairman of the Russian Federation VV Putin, the Government, the Government of the Republic of Tajikistan - the Prime Minister of the Republic of Tajikistan Akilov AG</w:t>
      </w:r>
    </w:p>
    <w:p>
      <w:pPr>
        <w:spacing w:after="0"/>
        <w:ind w:left="0"/>
        <w:jc w:val="both"/>
      </w:pPr>
      <w:r>
        <w:rPr>
          <w:rFonts w:ascii="Times New Roman"/>
          <w:b w:val="false"/>
          <w:i w:val="false"/>
          <w:color w:val="000000"/>
          <w:sz w:val="28"/>
        </w:rPr>
        <w:t>
      The original copy is kept in the Integration Committee of the Eurasian Economic Community.</w:t>
      </w:r>
    </w:p>
    <w:tbl>
      <w:tblPr>
        <w:tblW w:w="0" w:type="auto"/>
        <w:tblCellSpacing w:w="0" w:type="auto"/>
        <w:tblBorders>
          <w:top w:val="none"/>
          <w:left w:val="none"/>
          <w:bottom w:val="none"/>
          <w:right w:val="none"/>
          <w:insideH w:val="none"/>
          <w:insideV w:val="none"/>
        </w:tblBorders>
      </w:tblPr>
      <w:tblGrid>
        <w:gridCol w:w="8726"/>
        <w:gridCol w:w="3574"/>
      </w:tblGrid>
      <w:tr>
        <w:trPr>
          <w:trHeight w:val="30" w:hRule="atLeast"/>
        </w:trPr>
        <w:tc>
          <w:tcPr>
            <w:tcW w:w="87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Legal Department</w:t>
            </w:r>
          </w:p>
        </w:tc>
        <w:tc>
          <w:tcPr>
            <w:tcW w:w="35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Knyazev</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