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ca0d" w14:textId="e11c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loss and destruction of certain types of state property, having become obsolete due to physical and moral wear, as a result of natural disasters and accidents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1, 2011 No. 615. Abolished by the Decree of the Government of the Republic of Kazakhstan dated July 28, 2023 No. 622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the Decree of the Government of the Republic of Kazakhstan dated July 28, 2023 No. 622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paragraph 2 of Article 87 of the Law of the Republic of Kazakhstan "On State Property",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1027 of the Government of the Republic of Kazakhstan dated December 19.12.2022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registration of loss and destruction of certain types of state property having become obsolete due to physical and moral wear, natural disasters and accidents.</w:t>
      </w:r>
    </w:p>
    <w:p>
      <w:pPr>
        <w:spacing w:after="0"/>
        <w:ind w:left="0"/>
        <w:jc w:val="both"/>
      </w:pPr>
      <w:r>
        <w:rPr>
          <w:rFonts w:ascii="Times New Roman"/>
          <w:b w:val="false"/>
          <w:i w:val="false"/>
          <w:color w:val="000000"/>
          <w:sz w:val="28"/>
        </w:rPr>
        <w:t>
      2. The Ministry of Finance of the Republic of Kazakhstan shall have to take the necessary measures arising from this resolution.</w:t>
      </w:r>
    </w:p>
    <w:p>
      <w:pPr>
        <w:spacing w:after="0"/>
        <w:ind w:left="0"/>
        <w:jc w:val="both"/>
      </w:pPr>
      <w:r>
        <w:rPr>
          <w:rFonts w:ascii="Times New Roman"/>
          <w:b w:val="false"/>
          <w:i w:val="false"/>
          <w:color w:val="000000"/>
          <w:sz w:val="28"/>
        </w:rPr>
        <w:t>
      3. This resolution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of registration of loss and destruction of certain types of state property, having become obsolete due </w:t>
      </w:r>
      <w:r>
        <w:br/>
      </w:r>
      <w:r>
        <w:rPr>
          <w:rFonts w:ascii="Times New Roman"/>
          <w:b/>
          <w:i w:val="false"/>
          <w:color w:val="000000"/>
        </w:rPr>
        <w:t>to physical and moral wear, as a result of natural disasters and accidents  Chapter 1. General provisions</w:t>
      </w:r>
    </w:p>
    <w:p>
      <w:pPr>
        <w:spacing w:after="0"/>
        <w:ind w:left="0"/>
        <w:jc w:val="both"/>
      </w:pPr>
      <w:r>
        <w:rPr>
          <w:rFonts w:ascii="Times New Roman"/>
          <w:b w:val="false"/>
          <w:i w:val="false"/>
          <w:color w:val="ff0000"/>
          <w:sz w:val="28"/>
        </w:rPr>
        <w:t>
      Footnote. The heading of Chapter 1- as amended by Resolution No. 1027 of the Government of the Republic of Kazakhstan dated December 19.12.2022 (shall be enforced ten calendar days after the date of its first official publication).</w:t>
      </w:r>
    </w:p>
    <w:p>
      <w:pPr>
        <w:spacing w:after="0"/>
        <w:ind w:left="0"/>
        <w:jc w:val="both"/>
      </w:pPr>
      <w:r>
        <w:rPr>
          <w:rFonts w:ascii="Times New Roman"/>
          <w:b w:val="false"/>
          <w:i w:val="false"/>
          <w:color w:val="000000"/>
          <w:sz w:val="28"/>
        </w:rPr>
        <w:t>
      1. These Rules for registration of loss and destruction of certain types of state assets that have become unusable due to depreciation and obsolescence, as a result of natural disasters and accidents (hereinafter - the Rules), have been developed in accordance with the Civil Code of the Republic of Kazakhstan and the Law of the Republic of Kazakhstan "On State Property" and establish the procedure of registration of loss and destruction of certain types of state assets that have become unusable due to depreciation and obsolescence, as a result of natural disasters and accidents.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No. 1027 of the Government of the Republic of Kazakhstan dated December 19.12.2022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Destruction shall be carried out on property that shall have become obsolete due to physical and moral wear and tear, as a result of natural disasters and accidents, if it is economically impractical and/or impossible to restore it.</w:t>
      </w:r>
    </w:p>
    <w:p>
      <w:pPr>
        <w:spacing w:after="0"/>
        <w:ind w:left="0"/>
        <w:jc w:val="both"/>
      </w:pPr>
      <w:r>
        <w:rPr>
          <w:rFonts w:ascii="Times New Roman"/>
          <w:b w:val="false"/>
          <w:i w:val="false"/>
          <w:color w:val="000000"/>
          <w:sz w:val="28"/>
        </w:rPr>
        <w:t>
      These Rules shall apply to things.</w:t>
      </w:r>
    </w:p>
    <w:p>
      <w:pPr>
        <w:spacing w:after="0"/>
        <w:ind w:left="0"/>
        <w:jc w:val="left"/>
      </w:pPr>
      <w:r>
        <w:rPr>
          <w:rFonts w:ascii="Times New Roman"/>
          <w:b/>
          <w:i w:val="false"/>
          <w:color w:val="000000"/>
        </w:rPr>
        <w:t xml:space="preserve"> Chapter 2. Procedure of registration of loss and destruction</w:t>
      </w:r>
    </w:p>
    <w:p>
      <w:pPr>
        <w:spacing w:after="0"/>
        <w:ind w:left="0"/>
        <w:jc w:val="both"/>
      </w:pPr>
      <w:r>
        <w:rPr>
          <w:rFonts w:ascii="Times New Roman"/>
          <w:b w:val="false"/>
          <w:i w:val="false"/>
          <w:color w:val="ff0000"/>
          <w:sz w:val="28"/>
        </w:rPr>
        <w:t>
      Footnote. The heading of Chapter 2- as amended by Resolution No. 1027 of the Government of the Republic of Kazakhstan dated December 19.12.2022 (shall be enforced ten calendar days after the date of its first official publication).</w:t>
      </w:r>
    </w:p>
    <w:p>
      <w:pPr>
        <w:spacing w:after="0"/>
        <w:ind w:left="0"/>
        <w:jc w:val="both"/>
      </w:pPr>
      <w:r>
        <w:rPr>
          <w:rFonts w:ascii="Times New Roman"/>
          <w:b w:val="false"/>
          <w:i w:val="false"/>
          <w:color w:val="000000"/>
          <w:sz w:val="28"/>
        </w:rPr>
        <w:t>
      3. The registration of loss and destruction of certain types of state property that shall have become obsolete as a result of physical and moral wear and tear as a result of natural disasters and accidents shall be carried out by a permanent commission created by the decision of the head of the state legal entity or by the person performing its duties (hereinafter referred to as the Commission).</w:t>
      </w:r>
    </w:p>
    <w:p>
      <w:pPr>
        <w:spacing w:after="0"/>
        <w:ind w:left="0"/>
        <w:jc w:val="both"/>
      </w:pPr>
      <w:r>
        <w:rPr>
          <w:rFonts w:ascii="Times New Roman"/>
          <w:b w:val="false"/>
          <w:i w:val="false"/>
          <w:color w:val="000000"/>
          <w:sz w:val="28"/>
        </w:rPr>
        <w:t>
      4. The Commission established in the state enterprise must include:</w:t>
      </w:r>
    </w:p>
    <w:p>
      <w:pPr>
        <w:spacing w:after="0"/>
        <w:ind w:left="0"/>
        <w:jc w:val="both"/>
      </w:pPr>
      <w:r>
        <w:rPr>
          <w:rFonts w:ascii="Times New Roman"/>
          <w:b w:val="false"/>
          <w:i w:val="false"/>
          <w:color w:val="000000"/>
          <w:sz w:val="28"/>
        </w:rPr>
        <w:t>
      1) the chief engineer or deputy head of the state enterprise (chairman of the Commission);</w:t>
      </w:r>
    </w:p>
    <w:p>
      <w:pPr>
        <w:spacing w:after="0"/>
        <w:ind w:left="0"/>
        <w:jc w:val="both"/>
      </w:pPr>
      <w:r>
        <w:rPr>
          <w:rFonts w:ascii="Times New Roman"/>
          <w:b w:val="false"/>
          <w:i w:val="false"/>
          <w:color w:val="000000"/>
          <w:sz w:val="28"/>
        </w:rPr>
        <w:t>
      2) the chief accountant or his deputy;</w:t>
      </w:r>
    </w:p>
    <w:p>
      <w:pPr>
        <w:spacing w:after="0"/>
        <w:ind w:left="0"/>
        <w:jc w:val="both"/>
      </w:pPr>
      <w:r>
        <w:rPr>
          <w:rFonts w:ascii="Times New Roman"/>
          <w:b w:val="false"/>
          <w:i w:val="false"/>
          <w:color w:val="000000"/>
          <w:sz w:val="28"/>
        </w:rPr>
        <w:t>
      3) the person charged with responsibility for the preservation of property.</w:t>
      </w:r>
    </w:p>
    <w:p>
      <w:pPr>
        <w:spacing w:after="0"/>
        <w:ind w:left="0"/>
        <w:jc w:val="both"/>
      </w:pPr>
      <w:r>
        <w:rPr>
          <w:rFonts w:ascii="Times New Roman"/>
          <w:b w:val="false"/>
          <w:i w:val="false"/>
          <w:color w:val="000000"/>
          <w:sz w:val="28"/>
        </w:rPr>
        <w:t>
      The Commission established in state institutions must include:</w:t>
      </w:r>
    </w:p>
    <w:p>
      <w:pPr>
        <w:spacing w:after="0"/>
        <w:ind w:left="0"/>
        <w:jc w:val="both"/>
      </w:pPr>
      <w:r>
        <w:rPr>
          <w:rFonts w:ascii="Times New Roman"/>
          <w:b w:val="false"/>
          <w:i w:val="false"/>
          <w:color w:val="000000"/>
          <w:sz w:val="28"/>
        </w:rPr>
        <w:t>
      1) deputy head of a state institution, and in state institutions in which the position of the chief of staff has been introduced, the head of staff or an official authorized by him (chairman of the Commission);</w:t>
      </w:r>
    </w:p>
    <w:p>
      <w:pPr>
        <w:spacing w:after="0"/>
        <w:ind w:left="0"/>
        <w:jc w:val="both"/>
      </w:pPr>
      <w:r>
        <w:rPr>
          <w:rFonts w:ascii="Times New Roman"/>
          <w:b w:val="false"/>
          <w:i w:val="false"/>
          <w:color w:val="000000"/>
          <w:sz w:val="28"/>
        </w:rPr>
        <w:t>
      2) the chief accountant or his deputy (in case of absence of the position of the chief accountant according to the staffing table - the person who shall be entrusted with accounting management);</w:t>
      </w:r>
    </w:p>
    <w:p>
      <w:pPr>
        <w:spacing w:after="0"/>
        <w:ind w:left="0"/>
        <w:jc w:val="both"/>
      </w:pPr>
      <w:r>
        <w:rPr>
          <w:rFonts w:ascii="Times New Roman"/>
          <w:b w:val="false"/>
          <w:i w:val="false"/>
          <w:color w:val="000000"/>
          <w:sz w:val="28"/>
        </w:rPr>
        <w:t>
      3) the person charged with responsibility for the preservation of property.</w:t>
      </w:r>
    </w:p>
    <w:p>
      <w:pPr>
        <w:spacing w:after="0"/>
        <w:ind w:left="0"/>
        <w:jc w:val="both"/>
      </w:pPr>
      <w:r>
        <w:rPr>
          <w:rFonts w:ascii="Times New Roman"/>
          <w:b w:val="false"/>
          <w:i w:val="false"/>
          <w:color w:val="000000"/>
          <w:sz w:val="28"/>
        </w:rPr>
        <w:t>
      In case of registration of loss and destruction of certain types of property in accordance with the decision of the head of the state legal entity, or the person performing his duties, the relevant specialists (experts) may be included in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introduced by amendments with the resolution of the Government of the Republic of Kazakhstan dated 18.03.2021 № 145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shall inspect directly the property to be destroyed and shall use technical documentation, accounting data and shall:</w:t>
      </w:r>
    </w:p>
    <w:p>
      <w:pPr>
        <w:spacing w:after="0"/>
        <w:ind w:left="0"/>
        <w:jc w:val="both"/>
      </w:pPr>
      <w:r>
        <w:rPr>
          <w:rFonts w:ascii="Times New Roman"/>
          <w:b w:val="false"/>
          <w:i w:val="false"/>
          <w:color w:val="000000"/>
          <w:sz w:val="28"/>
        </w:rPr>
        <w:t>
      1) establish the unsuitability for restoration and further use;</w:t>
      </w:r>
    </w:p>
    <w:p>
      <w:pPr>
        <w:spacing w:after="0"/>
        <w:ind w:left="0"/>
        <w:jc w:val="both"/>
      </w:pPr>
      <w:r>
        <w:rPr>
          <w:rFonts w:ascii="Times New Roman"/>
          <w:b w:val="false"/>
          <w:i w:val="false"/>
          <w:color w:val="000000"/>
          <w:sz w:val="28"/>
        </w:rPr>
        <w:t>
      2) investigate the causes of his loss as specified in paragraph 2 of this Rule;</w:t>
      </w:r>
    </w:p>
    <w:p>
      <w:pPr>
        <w:spacing w:after="0"/>
        <w:ind w:left="0"/>
        <w:jc w:val="both"/>
      </w:pPr>
      <w:r>
        <w:rPr>
          <w:rFonts w:ascii="Times New Roman"/>
          <w:b w:val="false"/>
          <w:i w:val="false"/>
          <w:color w:val="000000"/>
          <w:sz w:val="28"/>
        </w:rPr>
        <w:t>
      3) determine the possibility of using its individual parts, assemblies, materials and shall evaluate them.</w:t>
      </w:r>
    </w:p>
    <w:p>
      <w:pPr>
        <w:spacing w:after="0"/>
        <w:ind w:left="0"/>
        <w:jc w:val="both"/>
      </w:pPr>
      <w:r>
        <w:rPr>
          <w:rFonts w:ascii="Times New Roman"/>
          <w:b w:val="false"/>
          <w:i w:val="false"/>
          <w:color w:val="000000"/>
          <w:sz w:val="28"/>
        </w:rPr>
        <w:t>
      6. All parts, assemblies, spare parts, materials and other tangible assets (hereinafter referred to as the materials) available for use shall be divided into three groups:</w:t>
      </w:r>
    </w:p>
    <w:p>
      <w:pPr>
        <w:spacing w:after="0"/>
        <w:ind w:left="0"/>
        <w:jc w:val="both"/>
      </w:pPr>
      <w:r>
        <w:rPr>
          <w:rFonts w:ascii="Times New Roman"/>
          <w:b w:val="false"/>
          <w:i w:val="false"/>
          <w:color w:val="000000"/>
          <w:sz w:val="28"/>
        </w:rPr>
        <w:t>
      1) the first group - suitable materials for further use for the intended purpose, which shall be entered in the corresponding accounting accounts at the price of their possible use;</w:t>
      </w:r>
    </w:p>
    <w:p>
      <w:pPr>
        <w:spacing w:after="0"/>
        <w:ind w:left="0"/>
        <w:jc w:val="both"/>
      </w:pPr>
      <w:r>
        <w:rPr>
          <w:rFonts w:ascii="Times New Roman"/>
          <w:b w:val="false"/>
          <w:i w:val="false"/>
          <w:color w:val="000000"/>
          <w:sz w:val="28"/>
        </w:rPr>
        <w:t>
      2) the second group - materials not suitable for further use for the intended purpose, which come as secondary raw materials (scrap of ferrous, non-ferrous and precious metals, rags, firewood and other raw materials);</w:t>
      </w:r>
    </w:p>
    <w:p>
      <w:pPr>
        <w:spacing w:after="0"/>
        <w:ind w:left="0"/>
        <w:jc w:val="both"/>
      </w:pPr>
      <w:r>
        <w:rPr>
          <w:rFonts w:ascii="Times New Roman"/>
          <w:b w:val="false"/>
          <w:i w:val="false"/>
          <w:color w:val="000000"/>
          <w:sz w:val="28"/>
        </w:rPr>
        <w:t>
      3) the third group - materials that shall not be suitable for further use and shall be subject to destruction.</w:t>
      </w:r>
    </w:p>
    <w:p>
      <w:pPr>
        <w:spacing w:after="0"/>
        <w:ind w:left="0"/>
        <w:jc w:val="both"/>
      </w:pPr>
      <w:r>
        <w:rPr>
          <w:rFonts w:ascii="Times New Roman"/>
          <w:b w:val="false"/>
          <w:i w:val="false"/>
          <w:color w:val="000000"/>
          <w:sz w:val="28"/>
        </w:rPr>
        <w:t>
      7. Based on the results of the inspection of the property subject to destruction, within three working days the Commission shall draw up a protocol, which shall be the basis of the day of write-off of the property from the balance sheet of the state legal entity (hereinafter referred to as the protocol).</w:t>
      </w:r>
    </w:p>
    <w:p>
      <w:pPr>
        <w:spacing w:after="0"/>
        <w:ind w:left="0"/>
        <w:jc w:val="both"/>
      </w:pPr>
      <w:r>
        <w:rPr>
          <w:rFonts w:ascii="Times New Roman"/>
          <w:b w:val="false"/>
          <w:i w:val="false"/>
          <w:color w:val="000000"/>
          <w:sz w:val="28"/>
        </w:rPr>
        <w:t>
      8. Disassembly and dismantling of property to be destroyed before approval of write-off certificates shall not be permitted.</w:t>
      </w:r>
    </w:p>
    <w:p>
      <w:pPr>
        <w:spacing w:after="0"/>
        <w:ind w:left="0"/>
        <w:jc w:val="both"/>
      </w:pPr>
      <w:r>
        <w:rPr>
          <w:rFonts w:ascii="Times New Roman"/>
          <w:b w:val="false"/>
          <w:i w:val="false"/>
          <w:color w:val="000000"/>
          <w:sz w:val="28"/>
        </w:rPr>
        <w:t>
      9. In case of impossibility of independent destruction of written-off property, state legal entities shall involve individuals and legal entities for destruction in accordance with the procedure established by the legislation of the Republic of Kazakhstan on public procurement.</w:t>
      </w:r>
    </w:p>
    <w:p>
      <w:pPr>
        <w:spacing w:after="0"/>
        <w:ind w:left="0"/>
        <w:jc w:val="both"/>
      </w:pPr>
      <w:r>
        <w:rPr>
          <w:rFonts w:ascii="Times New Roman"/>
          <w:b w:val="false"/>
          <w:i w:val="false"/>
          <w:color w:val="000000"/>
          <w:sz w:val="28"/>
        </w:rPr>
        <w:t>
      10. Write-off of property of state institutions, which shall be central state bodies, including their departments, shall be carried out by their decision, state institutions, which shall be territorial state bodies - in agreement with their higher state bodies.</w:t>
      </w:r>
    </w:p>
    <w:p>
      <w:pPr>
        <w:spacing w:after="0"/>
        <w:ind w:left="0"/>
        <w:jc w:val="both"/>
      </w:pPr>
      <w:r>
        <w:rPr>
          <w:rFonts w:ascii="Times New Roman"/>
          <w:b w:val="false"/>
          <w:i w:val="false"/>
          <w:color w:val="000000"/>
          <w:sz w:val="28"/>
        </w:rPr>
        <w:t>
      The property of foreign institutions of the Republic of Kazakhstan shall be written off by decision of the Ministry of Foreign Affairs of the Republic of Kazakhstan.</w:t>
      </w:r>
    </w:p>
    <w:p>
      <w:pPr>
        <w:spacing w:after="0"/>
        <w:ind w:left="0"/>
        <w:jc w:val="both"/>
      </w:pPr>
      <w:r>
        <w:rPr>
          <w:rFonts w:ascii="Times New Roman"/>
          <w:b w:val="false"/>
          <w:i w:val="false"/>
          <w:color w:val="000000"/>
          <w:sz w:val="28"/>
        </w:rPr>
        <w:t>
      11. The write-off of the property of state institutions held at the expense of the republican budget and not being state bodies shall be carried out in consultation with the authorized bodies of the relevant industries administering them.</w:t>
      </w:r>
    </w:p>
    <w:p>
      <w:pPr>
        <w:spacing w:after="0"/>
        <w:ind w:left="0"/>
        <w:jc w:val="both"/>
      </w:pPr>
      <w:r>
        <w:rPr>
          <w:rFonts w:ascii="Times New Roman"/>
          <w:b w:val="false"/>
          <w:i w:val="false"/>
          <w:color w:val="000000"/>
          <w:sz w:val="28"/>
        </w:rPr>
        <w:t>
      12. The write-off of the property of state institutions held at the expense of local budgets shall be carried out in consultation with the relevant local executive bodies.</w:t>
      </w:r>
    </w:p>
    <w:p>
      <w:pPr>
        <w:spacing w:after="0"/>
        <w:ind w:left="0"/>
        <w:jc w:val="both"/>
      </w:pPr>
      <w:r>
        <w:rPr>
          <w:rFonts w:ascii="Times New Roman"/>
          <w:b w:val="false"/>
          <w:i w:val="false"/>
          <w:color w:val="000000"/>
          <w:sz w:val="28"/>
        </w:rPr>
        <w:t>
      12-1. Write-off of property of municipal state institutions of local self-rule shall be made in coordination with the corresponding offices of akims of the cities of regional significance, the village, settlement, and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12-1 in accordance with the Decree of the Government of the Republic of Kazakhstan dated 01.11.2017 No. 695 (shall be enforced from 01.01.2018 for cities of regional significance, villages, towns, rural districts with a population of more than two thousand people, from 01.01.2020 for cities of district significance, villages, towns, rural districts with a population of two thousand or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write-off of the property of state-owned enterprises shall be carried out in consultation with the authorized bodies of the relevant industries (the relevant local executive bodies).</w:t>
      </w:r>
    </w:p>
    <w:p>
      <w:pPr>
        <w:spacing w:after="0"/>
        <w:ind w:left="0"/>
        <w:jc w:val="both"/>
      </w:pPr>
      <w:r>
        <w:rPr>
          <w:rFonts w:ascii="Times New Roman"/>
          <w:b w:val="false"/>
          <w:i w:val="false"/>
          <w:color w:val="000000"/>
          <w:sz w:val="28"/>
        </w:rPr>
        <w:t>
      13-1. Write-off of property of the utility state enterprises of local self-rule shall be carried out in coordination with the corresponding offices of akims of the cities of regional significance, the village, settlement,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13-1 in accordance with the Decree of the Government of the Republic of Kazakhstan dated 01.11.2017 No. 695 (shall be enforced from 01.01.2018 for cities of regional significance, villages, towns, rural districts with a population of more than two thousand people, from 01.01.2020 for cities of district significance, villages, towns, rural districts with a population of two thousand or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Certificates for the write-off of property of state legal entities shall be drawn up in three copies in accordance with forms approved by the central state body regulating activities in the field of accounting and financial reporting.</w:t>
      </w:r>
    </w:p>
    <w:p>
      <w:pPr>
        <w:spacing w:after="0"/>
        <w:ind w:left="0"/>
        <w:jc w:val="both"/>
      </w:pPr>
      <w:r>
        <w:rPr>
          <w:rFonts w:ascii="Times New Roman"/>
          <w:b w:val="false"/>
          <w:i w:val="false"/>
          <w:color w:val="000000"/>
          <w:sz w:val="28"/>
        </w:rPr>
        <w:t xml:space="preserve">
      15. Certificates drawn up by the Commission in three copies for the write-off of the property of state legal entities shall be sent for approval within seven calendar days in accordance with paragraphs </w:t>
      </w:r>
      <w:r>
        <w:rPr>
          <w:rFonts w:ascii="Times New Roman"/>
          <w:b w:val="false"/>
          <w:i w:val="false"/>
          <w:color w:val="000000"/>
          <w:sz w:val="28"/>
        </w:rPr>
        <w:t>paragraphs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and </w:t>
      </w:r>
      <w:r>
        <w:rPr>
          <w:rFonts w:ascii="Times New Roman"/>
          <w:b w:val="false"/>
          <w:i w:val="false"/>
          <w:color w:val="000000"/>
          <w:sz w:val="28"/>
        </w:rPr>
        <w:t>13-1</w:t>
      </w:r>
      <w:r>
        <w:rPr>
          <w:rFonts w:ascii="Times New Roman"/>
          <w:b w:val="false"/>
          <w:i w:val="false"/>
          <w:color w:val="000000"/>
          <w:sz w:val="28"/>
        </w:rPr>
        <w:t xml:space="preserve"> this Rule with the following documents attached:</w:t>
      </w:r>
    </w:p>
    <w:p>
      <w:pPr>
        <w:spacing w:after="0"/>
        <w:ind w:left="0"/>
        <w:jc w:val="both"/>
      </w:pPr>
      <w:r>
        <w:rPr>
          <w:rFonts w:ascii="Times New Roman"/>
          <w:b w:val="false"/>
          <w:i w:val="false"/>
          <w:color w:val="000000"/>
          <w:sz w:val="28"/>
        </w:rPr>
        <w:t>
      1) protocol of the Commission;</w:t>
      </w:r>
    </w:p>
    <w:p>
      <w:pPr>
        <w:spacing w:after="0"/>
        <w:ind w:left="0"/>
        <w:jc w:val="both"/>
      </w:pPr>
      <w:r>
        <w:rPr>
          <w:rFonts w:ascii="Times New Roman"/>
          <w:b w:val="false"/>
          <w:i w:val="false"/>
          <w:color w:val="000000"/>
          <w:sz w:val="28"/>
        </w:rPr>
        <w:t>
      2) in the event of an accident - a copy of the accident certificate or the report of the inspection of the scene of</w:t>
      </w:r>
      <w:r>
        <w:rPr>
          <w:rFonts w:ascii="Times New Roman"/>
          <w:b w:val="false"/>
          <w:i w:val="false"/>
          <w:color w:val="000000"/>
          <w:sz w:val="28"/>
          <w:u w:val="single"/>
        </w:rPr>
        <w:t xml:space="preserve"> </w:t>
      </w:r>
      <w:r>
        <w:rPr>
          <w:rFonts w:ascii="Times New Roman"/>
          <w:b w:val="false"/>
          <w:i w:val="false"/>
          <w:color w:val="000000"/>
          <w:sz w:val="28"/>
        </w:rPr>
        <w:t>the accident, drawn up and approved by the relevant official;</w:t>
      </w:r>
    </w:p>
    <w:p>
      <w:pPr>
        <w:spacing w:after="0"/>
        <w:ind w:left="0"/>
        <w:jc w:val="both"/>
      </w:pPr>
      <w:r>
        <w:rPr>
          <w:rFonts w:ascii="Times New Roman"/>
          <w:b w:val="false"/>
          <w:i w:val="false"/>
          <w:color w:val="000000"/>
          <w:sz w:val="28"/>
        </w:rPr>
        <w:t>
      3) in case of natural disaster - the copy of the act of investigation of the reasons of the accident, disasters, which led to emergency situations of natural and technogenic character.</w:t>
      </w:r>
    </w:p>
    <w:p>
      <w:pPr>
        <w:spacing w:after="0"/>
        <w:ind w:left="0"/>
        <w:jc w:val="both"/>
      </w:pPr>
      <w:r>
        <w:rPr>
          <w:rFonts w:ascii="Times New Roman"/>
          <w:b w:val="false"/>
          <w:i w:val="false"/>
          <w:color w:val="000000"/>
          <w:sz w:val="28"/>
        </w:rPr>
        <w:t>
      The period of approval shall involve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15 in accordance with the Decree of the Government of the Republic of Kazakhstan dated 01.11.2017 No. 695 (shall be enforced from 01.01.2018 for cities of regional significance, villages, towns, rural districts with a population of more than two thousand people, from 01.01.2020 for cities of district significance, villages, towns, rural districts with a population of two thousand or less people).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coordinating acts on writing off the state legal entity’s assets, the signature is required of the head or a person authorized by him, or a person replacing him, with the seal of the relevant body, and in state institutions with the instated chief of staff position, the signature of the chief of staff or an official, authorized by him.</w:t>
      </w:r>
    </w:p>
    <w:p>
      <w:pPr>
        <w:spacing w:after="0"/>
        <w:ind w:left="0"/>
        <w:jc w:val="both"/>
      </w:pPr>
      <w:r>
        <w:rPr>
          <w:rFonts w:ascii="Times New Roman"/>
          <w:b w:val="false"/>
          <w:i w:val="false"/>
          <w:color w:val="000000"/>
          <w:sz w:val="28"/>
        </w:rPr>
        <w:t>
      One copy of the documents referred to in paragraph 15 of these Rules remains with the coordinating body, the other two shall be sent to the state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Resolution No. 1027 of the Government of the Republic of Kazakhstan dated December 19.12.2022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case of refusal to agree, the package of documents justifying the refusal to write off the property shall be returned to the state legal entity.</w:t>
      </w:r>
    </w:p>
    <w:p>
      <w:pPr>
        <w:spacing w:after="0"/>
        <w:ind w:left="0"/>
        <w:jc w:val="both"/>
      </w:pPr>
      <w:r>
        <w:rPr>
          <w:rFonts w:ascii="Times New Roman"/>
          <w:b w:val="false"/>
          <w:i w:val="false"/>
          <w:color w:val="000000"/>
          <w:sz w:val="28"/>
        </w:rPr>
        <w:t>
      18. Acts on writing off the state legal entities’ assets shall be approved by the head of the state legal entity or a person authorized by him, or a person replacing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Resolution No. 1027 of the Government of the Republic of Kazakhstan dated December 19.12.2022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Final provisions</w:t>
      </w:r>
    </w:p>
    <w:p>
      <w:pPr>
        <w:spacing w:after="0"/>
        <w:ind w:left="0"/>
        <w:jc w:val="both"/>
      </w:pPr>
      <w:r>
        <w:rPr>
          <w:rFonts w:ascii="Times New Roman"/>
          <w:b w:val="false"/>
          <w:i w:val="false"/>
          <w:color w:val="ff0000"/>
          <w:sz w:val="28"/>
        </w:rPr>
        <w:t>
      Footnote. The heading of Chapter 3- as amended by Resolution No. 1027 of the Government of the Republic of Kazakhstan dated December 19.12.2022 (shall be enforced ten calendar days after the date of its first official publication).</w:t>
      </w:r>
    </w:p>
    <w:p>
      <w:pPr>
        <w:spacing w:after="0"/>
        <w:ind w:left="0"/>
        <w:jc w:val="both"/>
      </w:pPr>
      <w:r>
        <w:rPr>
          <w:rFonts w:ascii="Times New Roman"/>
          <w:b w:val="false"/>
          <w:i w:val="false"/>
          <w:color w:val="000000"/>
          <w:sz w:val="28"/>
        </w:rPr>
        <w:t>
      19. In case of violation of the current procedure for registration of loss and destruction of certain types of property, the guilty persons shall bear the liability established by the legislation of the Republic of Kazakhstan.</w:t>
      </w:r>
    </w:p>
    <w:p>
      <w:pPr>
        <w:spacing w:after="0"/>
        <w:ind w:left="0"/>
        <w:jc w:val="both"/>
      </w:pPr>
      <w:r>
        <w:rPr>
          <w:rFonts w:ascii="Times New Roman"/>
          <w:b w:val="false"/>
          <w:i w:val="false"/>
          <w:color w:val="000000"/>
          <w:sz w:val="28"/>
        </w:rPr>
        <w:t>
      20. Issues not regulated by these Rules shall be resolved in accordance with the current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