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d281" w14:textId="1aed2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of education of public monitoring commissions of regions, cities and the capital to carry out public control in institutions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Republic of Kazakhstan on June 24, 2011 № 702. Expired by the Decree of the Government of the Republic of Kazakhstan dated 02.03.2022 No. 100 (effective from the date of its signing and subject to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Expired by the Decree of the Government of the Republic of Kazakhstan dated 02.03.2022 No. 100 (effective from the date of its signing and subject to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the </w:t>
      </w:r>
      <w:r>
        <w:rPr>
          <w:rFonts w:ascii="Times New Roman"/>
          <w:b w:val="false"/>
          <w:i w:val="false"/>
          <w:color w:val="000000"/>
          <w:sz w:val="28"/>
        </w:rPr>
        <w:t>Article 50</w:t>
      </w:r>
      <w:r>
        <w:rPr>
          <w:rFonts w:ascii="Times New Roman"/>
          <w:b w:val="false"/>
          <w:i w:val="false"/>
          <w:color w:val="000000"/>
          <w:sz w:val="28"/>
        </w:rPr>
        <w:t xml:space="preserve"> Law of the Republic of Kazakhstan dated March 30, 1999 "On procedure and conditions of detention of persons in institutions that provide temporary isolation from society" The Government of the Republic of Kazakhstan RESOLVES:</w:t>
      </w:r>
    </w:p>
    <w:p>
      <w:pPr>
        <w:spacing w:after="0"/>
        <w:ind w:left="0"/>
        <w:jc w:val="both"/>
      </w:pPr>
      <w:r>
        <w:rPr>
          <w:rFonts w:ascii="Times New Roman"/>
          <w:b w:val="false"/>
          <w:i w:val="false"/>
          <w:color w:val="000000"/>
          <w:sz w:val="28"/>
        </w:rPr>
        <w:t>
      1. To approve the attached Rules of formation of public monitoring commissions of regions, cities and the capital to carry out public control in institutions.</w:t>
      </w:r>
    </w:p>
    <w:p>
      <w:pPr>
        <w:spacing w:after="0"/>
        <w:ind w:left="0"/>
        <w:jc w:val="both"/>
      </w:pPr>
      <w:r>
        <w:rPr>
          <w:rFonts w:ascii="Times New Roman"/>
          <w:b w:val="false"/>
          <w:i w:val="false"/>
          <w:color w:val="000000"/>
          <w:sz w:val="28"/>
        </w:rPr>
        <w:t>
      2. This resolution shall be enforced from the date of signing and shall be officially published.</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Resolution of the Government</w:t>
            </w:r>
            <w:r>
              <w:br/>
            </w:r>
            <w:r>
              <w:rPr>
                <w:rFonts w:ascii="Times New Roman"/>
                <w:b w:val="false"/>
                <w:i w:val="false"/>
                <w:color w:val="000000"/>
                <w:sz w:val="20"/>
              </w:rPr>
              <w:t>Republic of Kazakhstan</w:t>
            </w:r>
            <w:r>
              <w:br/>
            </w:r>
            <w:r>
              <w:rPr>
                <w:rFonts w:ascii="Times New Roman"/>
                <w:b w:val="false"/>
                <w:i w:val="false"/>
                <w:color w:val="000000"/>
                <w:sz w:val="20"/>
              </w:rPr>
              <w:t>on June 24, 2011 № 702</w:t>
            </w:r>
          </w:p>
        </w:tc>
      </w:tr>
    </w:tbl>
    <w:p>
      <w:pPr>
        <w:spacing w:after="0"/>
        <w:ind w:left="0"/>
        <w:jc w:val="left"/>
      </w:pPr>
      <w:r>
        <w:rPr>
          <w:rFonts w:ascii="Times New Roman"/>
          <w:b/>
          <w:i w:val="false"/>
          <w:color w:val="000000"/>
        </w:rPr>
        <w:t xml:space="preserve"> Rules</w:t>
      </w:r>
      <w:r>
        <w:br/>
      </w:r>
      <w:r>
        <w:rPr>
          <w:rFonts w:ascii="Times New Roman"/>
          <w:b/>
          <w:i w:val="false"/>
          <w:color w:val="000000"/>
        </w:rPr>
        <w:t>Education public monitoring commissions areas republican cities and the capital for public control in institutions 1. General Provisions</w:t>
      </w:r>
    </w:p>
    <w:p>
      <w:pPr>
        <w:spacing w:after="0"/>
        <w:ind w:left="0"/>
        <w:jc w:val="both"/>
      </w:pPr>
      <w:r>
        <w:rPr>
          <w:rFonts w:ascii="Times New Roman"/>
          <w:b w:val="false"/>
          <w:i w:val="false"/>
          <w:color w:val="000000"/>
          <w:sz w:val="28"/>
        </w:rPr>
        <w:t xml:space="preserve">
      1. The Education of public monitoring commissions of regions, cities and the capital to carry out public control in institutions (hereinafter - Rules) are developed in accordance with the </w:t>
      </w:r>
      <w:r>
        <w:rPr>
          <w:rFonts w:ascii="Times New Roman"/>
          <w:b w:val="false"/>
          <w:i w:val="false"/>
          <w:color w:val="000000"/>
          <w:sz w:val="28"/>
        </w:rPr>
        <w:t>Article 50</w:t>
      </w:r>
      <w:r>
        <w:rPr>
          <w:rFonts w:ascii="Times New Roman"/>
          <w:b w:val="false"/>
          <w:i w:val="false"/>
          <w:color w:val="000000"/>
          <w:sz w:val="28"/>
        </w:rPr>
        <w:t xml:space="preserve"> Law of the Republic of Kazakhstan dated March 30, 1999 "On procedure and conditions of detention of persons in institutions that provide temporary isolation from society" and determine the procedure for the formation of public monitoring commissions of regions, cities and the capital to carry out public control in institutions.</w:t>
      </w:r>
    </w:p>
    <w:p>
      <w:pPr>
        <w:spacing w:after="0"/>
        <w:ind w:left="0"/>
        <w:jc w:val="both"/>
      </w:pPr>
      <w:r>
        <w:rPr>
          <w:rFonts w:ascii="Times New Roman"/>
          <w:b w:val="false"/>
          <w:i w:val="false"/>
          <w:color w:val="000000"/>
          <w:sz w:val="28"/>
        </w:rPr>
        <w:t>
      2. Public supervisory commissions (hereinafter - the Commission) are formed for the implementation of public control in order to assist persons held in institutions, in the exercise of their legitimate rights and interests with regard to conditions of detention, health security, labor, leisure and education, provided by the legislation of the Republic of Kazakhstan.</w:t>
      </w:r>
    </w:p>
    <w:p>
      <w:pPr>
        <w:spacing w:after="0"/>
        <w:ind w:left="0"/>
        <w:jc w:val="both"/>
      </w:pPr>
      <w:r>
        <w:rPr>
          <w:rFonts w:ascii="Times New Roman"/>
          <w:b w:val="false"/>
          <w:i w:val="false"/>
          <w:color w:val="000000"/>
          <w:sz w:val="28"/>
        </w:rPr>
        <w:t>
      Commission are not legal entities.</w:t>
      </w:r>
    </w:p>
    <w:p>
      <w:pPr>
        <w:spacing w:after="0"/>
        <w:ind w:left="0"/>
        <w:jc w:val="both"/>
      </w:pPr>
      <w:r>
        <w:rPr>
          <w:rFonts w:ascii="Times New Roman"/>
          <w:b w:val="false"/>
          <w:i w:val="false"/>
          <w:color w:val="000000"/>
          <w:sz w:val="28"/>
        </w:rPr>
        <w:t>
      3. The Commission shall carry out their activities in accordance with the legislation of the Republic of Kazakhstan, international treaties ratified by the Republic of Kazakhstan and these Regulations.</w:t>
      </w:r>
    </w:p>
    <w:p>
      <w:pPr>
        <w:spacing w:after="0"/>
        <w:ind w:left="0"/>
        <w:jc w:val="both"/>
      </w:pPr>
      <w:r>
        <w:rPr>
          <w:rFonts w:ascii="Times New Roman"/>
          <w:b w:val="false"/>
          <w:i w:val="false"/>
          <w:color w:val="000000"/>
          <w:sz w:val="28"/>
        </w:rPr>
        <w:t>
      4. The Commission acting on the basis of the principles of voluntariness, equality and the rule of law.</w:t>
      </w:r>
    </w:p>
    <w:p>
      <w:pPr>
        <w:spacing w:after="0"/>
        <w:ind w:left="0"/>
        <w:jc w:val="left"/>
      </w:pPr>
      <w:r>
        <w:rPr>
          <w:rFonts w:ascii="Times New Roman"/>
          <w:b/>
          <w:i w:val="false"/>
          <w:color w:val="000000"/>
        </w:rPr>
        <w:t xml:space="preserve"> 2. The procedure for the formation of the Commission</w:t>
      </w:r>
    </w:p>
    <w:p>
      <w:pPr>
        <w:spacing w:after="0"/>
        <w:ind w:left="0"/>
        <w:jc w:val="both"/>
      </w:pPr>
      <w:r>
        <w:rPr>
          <w:rFonts w:ascii="Times New Roman"/>
          <w:b w:val="false"/>
          <w:i w:val="false"/>
          <w:color w:val="000000"/>
          <w:sz w:val="28"/>
        </w:rPr>
        <w:t>
      5. The Commission is formed on the initiative of public associations (unions (associations) of public associations), who wants to carry out public control in institutions.</w:t>
      </w:r>
    </w:p>
    <w:p>
      <w:pPr>
        <w:spacing w:after="0"/>
        <w:ind w:left="0"/>
        <w:jc w:val="both"/>
      </w:pPr>
      <w:r>
        <w:rPr>
          <w:rFonts w:ascii="Times New Roman"/>
          <w:b w:val="false"/>
          <w:i w:val="false"/>
          <w:color w:val="000000"/>
          <w:sz w:val="28"/>
        </w:rPr>
        <w:t>
      6. In order to ensure equal rights, formed by the Commission may include representatives of other public organizations.</w:t>
      </w:r>
    </w:p>
    <w:p>
      <w:pPr>
        <w:spacing w:after="0"/>
        <w:ind w:left="0"/>
        <w:jc w:val="both"/>
      </w:pPr>
      <w:r>
        <w:rPr>
          <w:rFonts w:ascii="Times New Roman"/>
          <w:b w:val="false"/>
          <w:i w:val="false"/>
          <w:color w:val="000000"/>
          <w:sz w:val="28"/>
        </w:rPr>
        <w:t>
      The initiator of the formation of the Commission through the media and other means to inform the public association of the intention to form a Commission.</w:t>
      </w:r>
    </w:p>
    <w:p>
      <w:pPr>
        <w:spacing w:after="0"/>
        <w:ind w:left="0"/>
        <w:jc w:val="both"/>
      </w:pPr>
      <w:r>
        <w:rPr>
          <w:rFonts w:ascii="Times New Roman"/>
          <w:b w:val="false"/>
          <w:i w:val="false"/>
          <w:color w:val="000000"/>
          <w:sz w:val="28"/>
        </w:rPr>
        <w:t>
      Public associations wishing to participate in the implementation of public control, has the right to delegate a member formed by the Commission, by submitting a formal proposal to the initiator of the Education Commission.</w:t>
      </w:r>
    </w:p>
    <w:p>
      <w:pPr>
        <w:spacing w:after="0"/>
        <w:ind w:left="0"/>
        <w:jc w:val="both"/>
      </w:pPr>
      <w:r>
        <w:rPr>
          <w:rFonts w:ascii="Times New Roman"/>
          <w:b w:val="false"/>
          <w:i w:val="false"/>
          <w:color w:val="000000"/>
          <w:sz w:val="28"/>
        </w:rPr>
        <w:t>
      7. In the region, the cities of Astana and Almaty for the implementation of public control in institutions is formed and operates regional, Astana and Almaty Commission.</w:t>
      </w:r>
    </w:p>
    <w:p>
      <w:pPr>
        <w:spacing w:after="0"/>
        <w:ind w:left="0"/>
        <w:jc w:val="both"/>
      </w:pPr>
      <w:r>
        <w:rPr>
          <w:rFonts w:ascii="Times New Roman"/>
          <w:b w:val="false"/>
          <w:i w:val="false"/>
          <w:color w:val="000000"/>
          <w:sz w:val="28"/>
        </w:rPr>
        <w:t>
      8. Commission be composed of from 3 to 11 people. Commission is headed by the Chairman elected by a majority vote of members of the Commission, which plans, executes management and control of the Commission.</w:t>
      </w:r>
    </w:p>
    <w:p>
      <w:pPr>
        <w:spacing w:after="0"/>
        <w:ind w:left="0"/>
        <w:jc w:val="both"/>
      </w:pPr>
      <w:r>
        <w:rPr>
          <w:rFonts w:ascii="Times New Roman"/>
          <w:b w:val="false"/>
          <w:i w:val="false"/>
          <w:color w:val="000000"/>
          <w:sz w:val="28"/>
        </w:rPr>
        <w:t>
      Membership, conditions and procedures for the acquisition and loss of membership, the rights and duties of members of the Commission are determined by the protocol decision of the meeting of the Commission.</w:t>
      </w:r>
    </w:p>
    <w:p>
      <w:pPr>
        <w:spacing w:after="0"/>
        <w:ind w:left="0"/>
        <w:jc w:val="both"/>
      </w:pPr>
      <w:r>
        <w:rPr>
          <w:rFonts w:ascii="Times New Roman"/>
          <w:b w:val="false"/>
          <w:i w:val="false"/>
          <w:color w:val="000000"/>
          <w:sz w:val="28"/>
        </w:rPr>
        <w:t>
      9. The beginning of work of the Commission is the simultaneous provision of the territorial authorities, the introduction of which there are special institutions, the protocol decision of the first meeting of the Commission, which approved its personal composition, and was elected chairman.</w:t>
      </w:r>
    </w:p>
    <w:p>
      <w:pPr>
        <w:spacing w:after="0"/>
        <w:ind w:left="0"/>
        <w:jc w:val="both"/>
      </w:pPr>
      <w:r>
        <w:rPr>
          <w:rFonts w:ascii="Times New Roman"/>
          <w:b w:val="false"/>
          <w:i w:val="false"/>
          <w:color w:val="000000"/>
          <w:sz w:val="28"/>
        </w:rPr>
        <w:t>
      10. Powers of the Commission shall be terminated if:</w:t>
      </w:r>
    </w:p>
    <w:p>
      <w:pPr>
        <w:spacing w:after="0"/>
        <w:ind w:left="0"/>
        <w:jc w:val="both"/>
      </w:pPr>
      <w:r>
        <w:rPr>
          <w:rFonts w:ascii="Times New Roman"/>
          <w:b w:val="false"/>
          <w:i w:val="false"/>
          <w:color w:val="000000"/>
          <w:sz w:val="28"/>
        </w:rPr>
        <w:t>
      1) a written statement of resignation;</w:t>
      </w:r>
    </w:p>
    <w:p>
      <w:pPr>
        <w:spacing w:after="0"/>
        <w:ind w:left="0"/>
        <w:jc w:val="both"/>
      </w:pPr>
      <w:r>
        <w:rPr>
          <w:rFonts w:ascii="Times New Roman"/>
          <w:b w:val="false"/>
          <w:i w:val="false"/>
          <w:color w:val="000000"/>
          <w:sz w:val="28"/>
        </w:rPr>
        <w:t>
      2) death or entry into force of a court decision declaring him dead;</w:t>
      </w:r>
    </w:p>
    <w:p>
      <w:pPr>
        <w:spacing w:after="0"/>
        <w:ind w:left="0"/>
        <w:jc w:val="both"/>
      </w:pPr>
      <w:r>
        <w:rPr>
          <w:rFonts w:ascii="Times New Roman"/>
          <w:b w:val="false"/>
          <w:i w:val="false"/>
          <w:color w:val="000000"/>
          <w:sz w:val="28"/>
        </w:rPr>
        <w:t>
      3) The decision of the public association that nominated this candidacy on its revocation;</w:t>
      </w:r>
    </w:p>
    <w:p>
      <w:pPr>
        <w:spacing w:after="0"/>
        <w:ind w:left="0"/>
        <w:jc w:val="both"/>
      </w:pPr>
      <w:r>
        <w:rPr>
          <w:rFonts w:ascii="Times New Roman"/>
          <w:b w:val="false"/>
          <w:i w:val="false"/>
          <w:color w:val="000000"/>
          <w:sz w:val="28"/>
        </w:rPr>
        <w:t>
      4) Elimination of a public association nominated this candidacy;</w:t>
      </w:r>
    </w:p>
    <w:p>
      <w:pPr>
        <w:spacing w:after="0"/>
        <w:ind w:left="0"/>
        <w:jc w:val="both"/>
      </w:pPr>
      <w:r>
        <w:rPr>
          <w:rFonts w:ascii="Times New Roman"/>
          <w:b w:val="false"/>
          <w:i w:val="false"/>
          <w:color w:val="000000"/>
          <w:sz w:val="28"/>
        </w:rPr>
        <w:t>
      5) a protocol decision of the Commission.</w:t>
      </w:r>
    </w:p>
    <w:p>
      <w:pPr>
        <w:spacing w:after="0"/>
        <w:ind w:left="0"/>
        <w:jc w:val="both"/>
      </w:pPr>
      <w:r>
        <w:rPr>
          <w:rFonts w:ascii="Times New Roman"/>
          <w:b w:val="false"/>
          <w:i w:val="false"/>
          <w:color w:val="000000"/>
          <w:sz w:val="28"/>
        </w:rPr>
        <w:t>
      11. Elimination of the Commission by decision of the Commission or the Court in the manner prescribed by law.</w:t>
      </w:r>
    </w:p>
    <w:p>
      <w:pPr>
        <w:spacing w:after="0"/>
        <w:ind w:left="0"/>
        <w:jc w:val="both"/>
      </w:pPr>
      <w:r>
        <w:rPr>
          <w:rFonts w:ascii="Times New Roman"/>
          <w:b w:val="false"/>
          <w:i w:val="false"/>
          <w:color w:val="000000"/>
          <w:sz w:val="28"/>
        </w:rPr>
        <w:t>
      12. In the circumstances referred to in paragraphs 10 and 11 of the Rules, a member of the Commission or the Chairperson of the Commission shall inform the territorial bodies, the introduction of which there are special institutions.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