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39e3" w14:textId="e0d3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Concluding an Agreement on the Application of Transfer Pricing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1197 dated October 24, 2011. It became invalid by the Decree of the Government of the Republic of Kazakhstan dated 19.05.2022 No. 317 (effective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19.05.2022 No. 317 (effective after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6) of paragraph 1 of Article 4 of the Law of the Republic of Kazakhstan dated 5 and July 2008 "On Transfer Pricing",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Concluding an Agreement on the Application of Transfer Pricing shall be approved.</w:t>
      </w:r>
    </w:p>
    <w:bookmarkEnd w:id="1"/>
    <w:bookmarkStart w:name="z3" w:id="2"/>
    <w:p>
      <w:pPr>
        <w:spacing w:after="0"/>
        <w:ind w:left="0"/>
        <w:jc w:val="both"/>
      </w:pPr>
      <w:r>
        <w:rPr>
          <w:rFonts w:ascii="Times New Roman"/>
          <w:b w:val="false"/>
          <w:i w:val="false"/>
          <w:color w:val="000000"/>
          <w:sz w:val="28"/>
        </w:rPr>
        <w:t>
      2. This Decree shall be enforced upon expiry of ten calendar days after the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1197 dated October 24, 2011 </w:t>
            </w:r>
          </w:p>
        </w:tc>
      </w:tr>
    </w:tbl>
    <w:bookmarkStart w:name="z5" w:id="3"/>
    <w:p>
      <w:pPr>
        <w:spacing w:after="0"/>
        <w:ind w:left="0"/>
        <w:jc w:val="left"/>
      </w:pPr>
      <w:r>
        <w:rPr>
          <w:rFonts w:ascii="Times New Roman"/>
          <w:b/>
          <w:i w:val="false"/>
          <w:color w:val="000000"/>
        </w:rPr>
        <w:t xml:space="preserve"> Rules for Concluding an Agreement on the Application of Transfer Pricing</w:t>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These Rules for Concluding an Agreement on the Application of Transfer Pricing (hereinafter referred to as the Rules) are developed in accordance with the Law of the Republic of Kazakhstan dated July 5, 2008 “On Transfer Pricing” (hereinafter - the Law) and determine the procedure for concluding an Agreement on the application of transfer pricing (hereinafter - the Agreement ) between the State Revenue Committee of the Ministry of Finance of the Republic of Kazakhstan (hereinafter - the Committee) and the participant in the transaction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reworded by Decree of the Government of the Republic of Kazakhstan No. 528 dated 08.28.2018 (shall be enforced upon expiry of ten calendar days after the day of its first official publication).</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The following paragraphs shall be reflected in the Agreement:</w:t>
      </w:r>
    </w:p>
    <w:bookmarkEnd w:id="6"/>
    <w:bookmarkStart w:name="z10" w:id="7"/>
    <w:p>
      <w:pPr>
        <w:spacing w:after="0"/>
        <w:ind w:left="0"/>
        <w:jc w:val="both"/>
      </w:pPr>
      <w:r>
        <w:rPr>
          <w:rFonts w:ascii="Times New Roman"/>
          <w:b w:val="false"/>
          <w:i w:val="false"/>
          <w:color w:val="000000"/>
          <w:sz w:val="28"/>
        </w:rPr>
        <w:t>
      1. general provisions;</w:t>
      </w:r>
    </w:p>
    <w:bookmarkEnd w:id="7"/>
    <w:bookmarkStart w:name="z11" w:id="8"/>
    <w:p>
      <w:pPr>
        <w:spacing w:after="0"/>
        <w:ind w:left="0"/>
        <w:jc w:val="both"/>
      </w:pPr>
      <w:r>
        <w:rPr>
          <w:rFonts w:ascii="Times New Roman"/>
          <w:b w:val="false"/>
          <w:i w:val="false"/>
          <w:color w:val="000000"/>
          <w:sz w:val="28"/>
        </w:rPr>
        <w:t>
      2) parties to the Agreement;</w:t>
      </w:r>
    </w:p>
    <w:bookmarkEnd w:id="8"/>
    <w:bookmarkStart w:name="z12" w:id="9"/>
    <w:p>
      <w:pPr>
        <w:spacing w:after="0"/>
        <w:ind w:left="0"/>
        <w:jc w:val="both"/>
      </w:pPr>
      <w:r>
        <w:rPr>
          <w:rFonts w:ascii="Times New Roman"/>
          <w:b w:val="false"/>
          <w:i w:val="false"/>
          <w:color w:val="000000"/>
          <w:sz w:val="28"/>
        </w:rPr>
        <w:t>
      3) scope of the Agreement;</w:t>
      </w:r>
    </w:p>
    <w:bookmarkEnd w:id="9"/>
    <w:bookmarkStart w:name="z13" w:id="10"/>
    <w:p>
      <w:pPr>
        <w:spacing w:after="0"/>
        <w:ind w:left="0"/>
        <w:jc w:val="both"/>
      </w:pPr>
      <w:r>
        <w:rPr>
          <w:rFonts w:ascii="Times New Roman"/>
          <w:b w:val="false"/>
          <w:i w:val="false"/>
          <w:color w:val="000000"/>
          <w:sz w:val="28"/>
        </w:rPr>
        <w:t>
      4) a list of submitted documents;</w:t>
      </w:r>
    </w:p>
    <w:bookmarkEnd w:id="10"/>
    <w:bookmarkStart w:name="z14" w:id="11"/>
    <w:p>
      <w:pPr>
        <w:spacing w:after="0"/>
        <w:ind w:left="0"/>
        <w:jc w:val="both"/>
      </w:pPr>
      <w:r>
        <w:rPr>
          <w:rFonts w:ascii="Times New Roman"/>
          <w:b w:val="false"/>
          <w:i w:val="false"/>
          <w:color w:val="000000"/>
          <w:sz w:val="28"/>
        </w:rPr>
        <w:t>
      5) the method of determining the market price;</w:t>
      </w:r>
    </w:p>
    <w:bookmarkEnd w:id="11"/>
    <w:bookmarkStart w:name="z15" w:id="12"/>
    <w:p>
      <w:pPr>
        <w:spacing w:after="0"/>
        <w:ind w:left="0"/>
        <w:jc w:val="both"/>
      </w:pPr>
      <w:r>
        <w:rPr>
          <w:rFonts w:ascii="Times New Roman"/>
          <w:b w:val="false"/>
          <w:i w:val="false"/>
          <w:color w:val="000000"/>
          <w:sz w:val="28"/>
        </w:rPr>
        <w:t>
      6) the source of information used to determine the market price;</w:t>
      </w:r>
    </w:p>
    <w:bookmarkEnd w:id="12"/>
    <w:bookmarkStart w:name="z16" w:id="13"/>
    <w:p>
      <w:pPr>
        <w:spacing w:after="0"/>
        <w:ind w:left="0"/>
        <w:jc w:val="both"/>
      </w:pPr>
      <w:r>
        <w:rPr>
          <w:rFonts w:ascii="Times New Roman"/>
          <w:b w:val="false"/>
          <w:i w:val="false"/>
          <w:color w:val="000000"/>
          <w:sz w:val="28"/>
        </w:rPr>
        <w:t>
      7) the duration of the Agreement;</w:t>
      </w:r>
    </w:p>
    <w:bookmarkEnd w:id="13"/>
    <w:bookmarkStart w:name="z17" w:id="14"/>
    <w:p>
      <w:pPr>
        <w:spacing w:after="0"/>
        <w:ind w:left="0"/>
        <w:jc w:val="both"/>
      </w:pPr>
      <w:r>
        <w:rPr>
          <w:rFonts w:ascii="Times New Roman"/>
          <w:b w:val="false"/>
          <w:i w:val="false"/>
          <w:color w:val="000000"/>
          <w:sz w:val="28"/>
        </w:rPr>
        <w:t>
      8) the date of entry into force of the Agreement;</w:t>
      </w:r>
    </w:p>
    <w:bookmarkEnd w:id="14"/>
    <w:bookmarkStart w:name="z18" w:id="15"/>
    <w:p>
      <w:pPr>
        <w:spacing w:after="0"/>
        <w:ind w:left="0"/>
        <w:jc w:val="both"/>
      </w:pPr>
      <w:r>
        <w:rPr>
          <w:rFonts w:ascii="Times New Roman"/>
          <w:b w:val="false"/>
          <w:i w:val="false"/>
          <w:color w:val="000000"/>
          <w:sz w:val="28"/>
        </w:rPr>
        <w:t>
      9) the period before leaving information on applicable prices during the term of the Agreement;</w:t>
      </w:r>
    </w:p>
    <w:bookmarkEnd w:id="15"/>
    <w:bookmarkStart w:name="z19" w:id="16"/>
    <w:p>
      <w:pPr>
        <w:spacing w:after="0"/>
        <w:ind w:left="0"/>
        <w:jc w:val="both"/>
      </w:pPr>
      <w:r>
        <w:rPr>
          <w:rFonts w:ascii="Times New Roman"/>
          <w:b w:val="false"/>
          <w:i w:val="false"/>
          <w:color w:val="000000"/>
          <w:sz w:val="28"/>
        </w:rPr>
        <w:t>
      10) confidentiality;</w:t>
      </w:r>
    </w:p>
    <w:bookmarkEnd w:id="16"/>
    <w:bookmarkStart w:name="z20" w:id="17"/>
    <w:p>
      <w:pPr>
        <w:spacing w:after="0"/>
        <w:ind w:left="0"/>
        <w:jc w:val="both"/>
      </w:pPr>
      <w:r>
        <w:rPr>
          <w:rFonts w:ascii="Times New Roman"/>
          <w:b w:val="false"/>
          <w:i w:val="false"/>
          <w:color w:val="000000"/>
          <w:sz w:val="28"/>
        </w:rPr>
        <w:t>
      11) consequences of non-fulfilment (violation) by the transaction participant of the terms of the Agreement;</w:t>
      </w:r>
    </w:p>
    <w:bookmarkEnd w:id="17"/>
    <w:bookmarkStart w:name="z21" w:id="18"/>
    <w:p>
      <w:pPr>
        <w:spacing w:after="0"/>
        <w:ind w:left="0"/>
        <w:jc w:val="both"/>
      </w:pPr>
      <w:r>
        <w:rPr>
          <w:rFonts w:ascii="Times New Roman"/>
          <w:b w:val="false"/>
          <w:i w:val="false"/>
          <w:color w:val="000000"/>
          <w:sz w:val="28"/>
        </w:rPr>
        <w:t>
      12) grounds for early termination of the Agreement;</w:t>
      </w:r>
    </w:p>
    <w:bookmarkEnd w:id="18"/>
    <w:bookmarkStart w:name="z22" w:id="19"/>
    <w:p>
      <w:pPr>
        <w:spacing w:after="0"/>
        <w:ind w:left="0"/>
        <w:jc w:val="both"/>
      </w:pPr>
      <w:r>
        <w:rPr>
          <w:rFonts w:ascii="Times New Roman"/>
          <w:b w:val="false"/>
          <w:i w:val="false"/>
          <w:color w:val="000000"/>
          <w:sz w:val="28"/>
        </w:rPr>
        <w:t>
      13) additional conditions.</w:t>
      </w:r>
    </w:p>
    <w:bookmarkEnd w:id="19"/>
    <w:bookmarkStart w:name="z23" w:id="20"/>
    <w:p>
      <w:pPr>
        <w:spacing w:after="0"/>
        <w:ind w:left="0"/>
        <w:jc w:val="left"/>
      </w:pPr>
      <w:r>
        <w:rPr>
          <w:rFonts w:ascii="Times New Roman"/>
          <w:b/>
          <w:i w:val="false"/>
          <w:color w:val="000000"/>
        </w:rPr>
        <w:t xml:space="preserve"> 2. Procedure for concluding an Agreement on the Application of Transfer Pricing</w:t>
      </w:r>
    </w:p>
    <w:bookmarkEnd w:id="20"/>
    <w:bookmarkStart w:name="z24" w:id="21"/>
    <w:p>
      <w:pPr>
        <w:spacing w:after="0"/>
        <w:ind w:left="0"/>
        <w:jc w:val="both"/>
      </w:pPr>
      <w:r>
        <w:rPr>
          <w:rFonts w:ascii="Times New Roman"/>
          <w:b w:val="false"/>
          <w:i w:val="false"/>
          <w:color w:val="000000"/>
          <w:sz w:val="28"/>
        </w:rPr>
        <w:t>
      3. The participant in the transaction shall submit to the Committee an application for the conclusion of the Agreement in writing and in any form, to which the copies of the documents necessary for the conclusion of the Agreement, shall be attached, including:</w:t>
      </w:r>
    </w:p>
    <w:bookmarkEnd w:id="21"/>
    <w:bookmarkStart w:name="z25" w:id="22"/>
    <w:p>
      <w:pPr>
        <w:spacing w:after="0"/>
        <w:ind w:left="0"/>
        <w:jc w:val="both"/>
      </w:pPr>
      <w:r>
        <w:rPr>
          <w:rFonts w:ascii="Times New Roman"/>
          <w:b w:val="false"/>
          <w:i w:val="false"/>
          <w:color w:val="000000"/>
          <w:sz w:val="28"/>
        </w:rPr>
        <w:t>
      1) a certificate * or a certificate of state incorporation (reincorporation) of a legal entity, constituent documents (charter, constituent agreement), extracts from the register of holders of shares (shares) owning more than 5% of shares (shares);</w:t>
      </w:r>
    </w:p>
    <w:bookmarkEnd w:id="22"/>
    <w:bookmarkStart w:name="z26" w:id="23"/>
    <w:p>
      <w:pPr>
        <w:spacing w:after="0"/>
        <w:ind w:left="0"/>
        <w:jc w:val="both"/>
      </w:pPr>
      <w:r>
        <w:rPr>
          <w:rFonts w:ascii="Times New Roman"/>
          <w:b w:val="false"/>
          <w:i w:val="false"/>
          <w:color w:val="000000"/>
          <w:sz w:val="28"/>
        </w:rPr>
        <w:t>
      note: * certificate of state (accounting) incorporation (reincorporation) of a legal entity (branch, representative office) issued before the Law of the Republic of Kazakhstan dated December 24, 2012 "On Amendments and Additions to Some Legislative Acts of the Republic of Kazakhstan on State Registration of Legal Entities and Accounting Registration of Branches and Representative Offices" shall be valid until the termination of the legal entity;</w:t>
      </w:r>
    </w:p>
    <w:bookmarkEnd w:id="23"/>
    <w:bookmarkStart w:name="z27" w:id="24"/>
    <w:p>
      <w:pPr>
        <w:spacing w:after="0"/>
        <w:ind w:left="0"/>
        <w:jc w:val="both"/>
      </w:pPr>
      <w:r>
        <w:rPr>
          <w:rFonts w:ascii="Times New Roman"/>
          <w:b w:val="false"/>
          <w:i w:val="false"/>
          <w:color w:val="000000"/>
          <w:sz w:val="28"/>
        </w:rPr>
        <w:t>
      2) business identification number (individual identification number (for individuals);</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by Decree of the Government of the Republic of Kazakhstan No. 905 dated 04.07.2012 (shall be enforced from the date of official publication); </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an identity document;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Decree of the Government of the Republic of Kazakhstan No. 528 dated August 27, 2018 (shall be enforced upon expiry of ten calendar days after the day of its first official publication);</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6) contracts for the sale and purchase of goods (with additions and changes);</w:t>
      </w:r>
    </w:p>
    <w:bookmarkEnd w:id="26"/>
    <w:bookmarkStart w:name="z32" w:id="27"/>
    <w:p>
      <w:pPr>
        <w:spacing w:after="0"/>
        <w:ind w:left="0"/>
        <w:jc w:val="both"/>
      </w:pPr>
      <w:r>
        <w:rPr>
          <w:rFonts w:ascii="Times New Roman"/>
          <w:b w:val="false"/>
          <w:i w:val="false"/>
          <w:color w:val="000000"/>
          <w:sz w:val="28"/>
        </w:rPr>
        <w:t>
      7) subsurface use contracts (with amendments and additions) concluded with the Competent Authority of the Republic of Kazakhstan and (or) with the Government of the Republic of Kazakhstan;</w:t>
      </w:r>
    </w:p>
    <w:bookmarkEnd w:id="27"/>
    <w:bookmarkStart w:name="z33" w:id="28"/>
    <w:p>
      <w:pPr>
        <w:spacing w:after="0"/>
        <w:ind w:left="0"/>
        <w:jc w:val="both"/>
      </w:pPr>
      <w:r>
        <w:rPr>
          <w:rFonts w:ascii="Times New Roman"/>
          <w:b w:val="false"/>
          <w:i w:val="false"/>
          <w:color w:val="000000"/>
          <w:sz w:val="28"/>
        </w:rPr>
        <w:t>
      8) information on investments (stocks) in companies of the Republic of Kazakhstan and foreign countries;</w:t>
      </w:r>
    </w:p>
    <w:bookmarkEnd w:id="28"/>
    <w:bookmarkStart w:name="z34" w:id="29"/>
    <w:p>
      <w:pPr>
        <w:spacing w:after="0"/>
        <w:ind w:left="0"/>
        <w:jc w:val="both"/>
      </w:pPr>
      <w:r>
        <w:rPr>
          <w:rFonts w:ascii="Times New Roman"/>
          <w:b w:val="false"/>
          <w:i w:val="false"/>
          <w:color w:val="000000"/>
          <w:sz w:val="28"/>
        </w:rPr>
        <w:t>
      9) data on the interconnectedness of the parties;</w:t>
      </w:r>
    </w:p>
    <w:bookmarkEnd w:id="29"/>
    <w:bookmarkStart w:name="z35" w:id="30"/>
    <w:p>
      <w:pPr>
        <w:spacing w:after="0"/>
        <w:ind w:left="0"/>
        <w:jc w:val="both"/>
      </w:pPr>
      <w:r>
        <w:rPr>
          <w:rFonts w:ascii="Times New Roman"/>
          <w:b w:val="false"/>
          <w:i w:val="false"/>
          <w:color w:val="000000"/>
          <w:sz w:val="28"/>
        </w:rPr>
        <w:t>
      10) a source of information at market prices used in transactions;</w:t>
      </w:r>
    </w:p>
    <w:bookmarkEnd w:id="30"/>
    <w:bookmarkStart w:name="z36" w:id="31"/>
    <w:p>
      <w:pPr>
        <w:spacing w:after="0"/>
        <w:ind w:left="0"/>
        <w:jc w:val="both"/>
      </w:pPr>
      <w:r>
        <w:rPr>
          <w:rFonts w:ascii="Times New Roman"/>
          <w:b w:val="false"/>
          <w:i w:val="false"/>
          <w:color w:val="000000"/>
          <w:sz w:val="28"/>
        </w:rPr>
        <w:t>
      11) the method proposed for determining the market price;</w:t>
      </w:r>
    </w:p>
    <w:bookmarkEnd w:id="31"/>
    <w:bookmarkStart w:name="z37" w:id="32"/>
    <w:p>
      <w:pPr>
        <w:spacing w:after="0"/>
        <w:ind w:left="0"/>
        <w:jc w:val="both"/>
      </w:pPr>
      <w:r>
        <w:rPr>
          <w:rFonts w:ascii="Times New Roman"/>
          <w:b w:val="false"/>
          <w:i w:val="false"/>
          <w:color w:val="000000"/>
          <w:sz w:val="28"/>
        </w:rPr>
        <w:t>
      12) a business strategy, which includes a marketing policy (product, marketing, pricing, as well as a policy of promoting a product on the market), a pricing methodology, including information regarding factors that affect pricing, market reputation.</w:t>
      </w:r>
    </w:p>
    <w:bookmarkEnd w:id="32"/>
    <w:bookmarkStart w:name="z38" w:id="33"/>
    <w:p>
      <w:pPr>
        <w:spacing w:after="0"/>
        <w:ind w:left="0"/>
        <w:jc w:val="both"/>
      </w:pPr>
      <w:r>
        <w:rPr>
          <w:rFonts w:ascii="Times New Roman"/>
          <w:b w:val="false"/>
          <w:i w:val="false"/>
          <w:color w:val="000000"/>
          <w:sz w:val="28"/>
        </w:rPr>
        <w:t>
      If it is impossible to submit the documents referred to in subparagraphs 6), 7), 8), 9), 10), 11) and 12) of this paragraph, the transaction participant shall submit a written justification on the impossibility of submitting them.</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3 as amended by Decree of the Government of the Republic of Kazakhstan No. 905 dated 04.07.2012 (shall be enforced from the date of official publication); No. 574 dated 05.06.2013; No. 528 dated August 27, 2018 (shall be enforced upon expiry of ten calendar days after the day of its first official publication). </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4. In the case of the sale (purchase) of goods (works, services) to related companies, the transaction participant entering into the Agreement shall also submit documents related to the sale (purchase) of these goods (works, services) to related companies.</w:t>
      </w:r>
    </w:p>
    <w:bookmarkEnd w:id="34"/>
    <w:bookmarkStart w:name="z41" w:id="35"/>
    <w:p>
      <w:pPr>
        <w:spacing w:after="0"/>
        <w:ind w:left="0"/>
        <w:jc w:val="both"/>
      </w:pPr>
      <w:r>
        <w:rPr>
          <w:rFonts w:ascii="Times New Roman"/>
          <w:b w:val="false"/>
          <w:i w:val="false"/>
          <w:color w:val="000000"/>
          <w:sz w:val="28"/>
        </w:rPr>
        <w:t>
      5. The Committee shall consider the application of the transaction participant to conclude the Agreement within sixty business days from the date of receipt of the said application from the transaction participant.</w:t>
      </w:r>
    </w:p>
    <w:bookmarkEnd w:id="35"/>
    <w:bookmarkStart w:name="z42" w:id="36"/>
    <w:p>
      <w:pPr>
        <w:spacing w:after="0"/>
        <w:ind w:left="0"/>
        <w:jc w:val="both"/>
      </w:pPr>
      <w:r>
        <w:rPr>
          <w:rFonts w:ascii="Times New Roman"/>
          <w:b w:val="false"/>
          <w:i w:val="false"/>
          <w:color w:val="000000"/>
          <w:sz w:val="28"/>
        </w:rPr>
        <w:t>
      In the event of a positive decision on the conclusion of the Agreement, within five working days from the date of the decision, the Committee shall send to the party to the transaction, signed by the Chairman of the Committee or an official charged with fulfilling the duties of the Chairman of the Committee, the Agreement, valid for a period not exceeding three years from the day of its signing.</w:t>
      </w:r>
    </w:p>
    <w:bookmarkEnd w:id="36"/>
    <w:bookmarkStart w:name="z43" w:id="37"/>
    <w:p>
      <w:pPr>
        <w:spacing w:after="0"/>
        <w:ind w:left="0"/>
        <w:jc w:val="both"/>
      </w:pPr>
      <w:r>
        <w:rPr>
          <w:rFonts w:ascii="Times New Roman"/>
          <w:b w:val="false"/>
          <w:i w:val="false"/>
          <w:color w:val="000000"/>
          <w:sz w:val="28"/>
        </w:rPr>
        <w:t>
      After the signing by the Chairman of the Committee or the official charged with fulfilling the duties of the Chairman of the Committee, the Agreement shall be sent to the Committee within ten working days from the date of signing.</w:t>
      </w:r>
    </w:p>
    <w:bookmarkEnd w:id="37"/>
    <w:bookmarkStart w:name="z44" w:id="38"/>
    <w:p>
      <w:pPr>
        <w:spacing w:after="0"/>
        <w:ind w:left="0"/>
        <w:jc w:val="both"/>
      </w:pPr>
      <w:r>
        <w:rPr>
          <w:rFonts w:ascii="Times New Roman"/>
          <w:b w:val="false"/>
          <w:i w:val="false"/>
          <w:color w:val="000000"/>
          <w:sz w:val="28"/>
        </w:rPr>
        <w:t>
      In the event that a decision is made to refuse to conclude an Agreement, the Committee, within five business days from the date of the decision on the results of consideration of the application of the transaction participant to conclude the Agreement, shall send a written response to the transaction participant with reasons for the refusal to conclude it.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reworded by Decree of the Government of the Republic of Kazakhstan No. 528 dated August 27, 2018 (shall be enforced upon expiry of ten calendar days after the day of its first official publication).</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6. The Committee shall refuse to conclude the Agreement with the party to the transaction in the following cases:</w:t>
      </w:r>
    </w:p>
    <w:bookmarkEnd w:id="39"/>
    <w:bookmarkStart w:name="z47" w:id="40"/>
    <w:p>
      <w:pPr>
        <w:spacing w:after="0"/>
        <w:ind w:left="0"/>
        <w:jc w:val="both"/>
      </w:pPr>
      <w:r>
        <w:rPr>
          <w:rFonts w:ascii="Times New Roman"/>
          <w:b w:val="false"/>
          <w:i w:val="false"/>
          <w:color w:val="000000"/>
          <w:sz w:val="28"/>
        </w:rPr>
        <w:t>
      1) if the transaction participant fails to provide written justification on the impossibility of providing a complete list of documents required for the conclusion of the Agreement and provided for in paragraph 3 of these Rules;</w:t>
      </w:r>
    </w:p>
    <w:bookmarkEnd w:id="40"/>
    <w:bookmarkStart w:name="z48" w:id="41"/>
    <w:p>
      <w:pPr>
        <w:spacing w:after="0"/>
        <w:ind w:left="0"/>
        <w:jc w:val="both"/>
      </w:pPr>
      <w:r>
        <w:rPr>
          <w:rFonts w:ascii="Times New Roman"/>
          <w:b w:val="false"/>
          <w:i w:val="false"/>
          <w:color w:val="000000"/>
          <w:sz w:val="28"/>
        </w:rPr>
        <w:t>
      2) if it is possible to apply other methods of determining the market price, taking into account the sequence established by Article 12 of the Law and not provided for in the application of the transaction participant for concluding the Agreement;</w:t>
      </w:r>
    </w:p>
    <w:bookmarkEnd w:id="41"/>
    <w:bookmarkStart w:name="z49" w:id="42"/>
    <w:p>
      <w:pPr>
        <w:spacing w:after="0"/>
        <w:ind w:left="0"/>
        <w:jc w:val="both"/>
      </w:pPr>
      <w:r>
        <w:rPr>
          <w:rFonts w:ascii="Times New Roman"/>
          <w:b w:val="false"/>
          <w:i w:val="false"/>
          <w:color w:val="000000"/>
          <w:sz w:val="28"/>
        </w:rPr>
        <w:t>
      3) if it is possible to use other sources of information used to determine the market price, taking into account the sequence established by Article 18 of the Law and not provided for in the application of the transaction participant for concluding the Agreement.</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Decree of the Government of the Republic of Kazakhstan No. 528 dated August 27, 2018 (shall be enforced upon expiry of ten calendar days after the day of its first official publication).</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7. If necessary, the Committee shall requests documents (information) related to the concluded Agreement from the following entities:</w:t>
      </w:r>
    </w:p>
    <w:bookmarkEnd w:id="43"/>
    <w:bookmarkStart w:name="z52" w:id="44"/>
    <w:p>
      <w:pPr>
        <w:spacing w:after="0"/>
        <w:ind w:left="0"/>
        <w:jc w:val="both"/>
      </w:pPr>
      <w:r>
        <w:rPr>
          <w:rFonts w:ascii="Times New Roman"/>
          <w:b w:val="false"/>
          <w:i w:val="false"/>
          <w:color w:val="000000"/>
          <w:sz w:val="28"/>
        </w:rPr>
        <w:t>
      1) state bodies;</w:t>
      </w:r>
    </w:p>
    <w:bookmarkEnd w:id="44"/>
    <w:bookmarkStart w:name="z53" w:id="45"/>
    <w:p>
      <w:pPr>
        <w:spacing w:after="0"/>
        <w:ind w:left="0"/>
        <w:jc w:val="both"/>
      </w:pPr>
      <w:r>
        <w:rPr>
          <w:rFonts w:ascii="Times New Roman"/>
          <w:b w:val="false"/>
          <w:i w:val="false"/>
          <w:color w:val="000000"/>
          <w:sz w:val="28"/>
        </w:rPr>
        <w:t>
      2) banks, organizations engaged in certain types of banking operations;</w:t>
      </w:r>
    </w:p>
    <w:bookmarkEnd w:id="45"/>
    <w:bookmarkStart w:name="z54" w:id="46"/>
    <w:p>
      <w:pPr>
        <w:spacing w:after="0"/>
        <w:ind w:left="0"/>
        <w:jc w:val="both"/>
      </w:pPr>
      <w:r>
        <w:rPr>
          <w:rFonts w:ascii="Times New Roman"/>
          <w:b w:val="false"/>
          <w:i w:val="false"/>
          <w:color w:val="000000"/>
          <w:sz w:val="28"/>
        </w:rPr>
        <w:t>
      3) insurance (reinsurance) organizations, insurance brokers ;</w:t>
      </w:r>
    </w:p>
    <w:bookmarkEnd w:id="46"/>
    <w:bookmarkStart w:name="z55" w:id="47"/>
    <w:p>
      <w:pPr>
        <w:spacing w:after="0"/>
        <w:ind w:left="0"/>
        <w:jc w:val="both"/>
      </w:pPr>
      <w:r>
        <w:rPr>
          <w:rFonts w:ascii="Times New Roman"/>
          <w:b w:val="false"/>
          <w:i w:val="false"/>
          <w:color w:val="000000"/>
          <w:sz w:val="28"/>
        </w:rPr>
        <w:t>
      4) professional participants in the securities market;</w:t>
      </w:r>
    </w:p>
    <w:bookmarkEnd w:id="47"/>
    <w:bookmarkStart w:name="z56" w:id="48"/>
    <w:p>
      <w:pPr>
        <w:spacing w:after="0"/>
        <w:ind w:left="0"/>
        <w:jc w:val="both"/>
      </w:pPr>
      <w:r>
        <w:rPr>
          <w:rFonts w:ascii="Times New Roman"/>
          <w:b w:val="false"/>
          <w:i w:val="false"/>
          <w:color w:val="000000"/>
          <w:sz w:val="28"/>
        </w:rPr>
        <w:t>
      5) auditors, audit organizations;</w:t>
      </w:r>
    </w:p>
    <w:bookmarkEnd w:id="48"/>
    <w:bookmarkStart w:name="z57" w:id="49"/>
    <w:p>
      <w:pPr>
        <w:spacing w:after="0"/>
        <w:ind w:left="0"/>
        <w:jc w:val="both"/>
      </w:pPr>
      <w:r>
        <w:rPr>
          <w:rFonts w:ascii="Times New Roman"/>
          <w:b w:val="false"/>
          <w:i w:val="false"/>
          <w:color w:val="000000"/>
          <w:sz w:val="28"/>
        </w:rPr>
        <w:t>
      6) other organizations.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Decree of the Government of the Republic of Kazakhstan No. 528 dated 27.08.2018 (shall be enforced upon expiry of ten calendar days after the day of its first official publication).</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8. By mutual agreement of the Committee and the party to the transaction, the Agreement may be terminated earlier than the stipulated validity period, while the terms of the Agreement remain valid until terminated.</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Decree of the Government of the Republic of Kazakhstan No. 528 dated August 27, 2018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