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e270" w14:textId="bede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officially recognized sources of information on market prices for crude oil and (or) gas condensate and oil products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1568 dated December 21, 2011. It became invalid by the Decree of the Government of the Republic of Kazakhstan dated 22.12.2020 No. 876 (effective from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22.12.2020 No. 876 (effective from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4</w:t>
      </w:r>
      <w:r>
        <w:rPr>
          <w:rFonts w:ascii="Times New Roman"/>
          <w:b w:val="false"/>
          <w:i w:val="false"/>
          <w:color w:val="000000"/>
          <w:sz w:val="28"/>
        </w:rPr>
        <w:t xml:space="preserve">) of Article 6 of the Law of the Republic of Kazakhstan dated July 20, 2011 "On state regulation of production and turnover of certain types of oil products",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List</w:t>
      </w:r>
      <w:r>
        <w:rPr>
          <w:rFonts w:ascii="Times New Roman"/>
          <w:b w:val="false"/>
          <w:i w:val="false"/>
          <w:color w:val="000000"/>
          <w:sz w:val="28"/>
        </w:rPr>
        <w:t xml:space="preserve"> of officially recognized sources of information on market prices for crude oil and (or) gas condensate and oil products.</w:t>
      </w:r>
    </w:p>
    <w:bookmarkEnd w:id="1"/>
    <w:bookmarkStart w:name="z3" w:id="2"/>
    <w:p>
      <w:pPr>
        <w:spacing w:after="0"/>
        <w:ind w:left="0"/>
        <w:jc w:val="both"/>
      </w:pPr>
      <w:r>
        <w:rPr>
          <w:rFonts w:ascii="Times New Roman"/>
          <w:b w:val="false"/>
          <w:i w:val="false"/>
          <w:color w:val="000000"/>
          <w:sz w:val="28"/>
        </w:rPr>
        <w:t>
      2. This Decree shall be enforced from the day of the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1568 dated December 21, 2011 </w:t>
            </w:r>
          </w:p>
        </w:tc>
      </w:tr>
    </w:tbl>
    <w:bookmarkStart w:name="z5" w:id="3"/>
    <w:p>
      <w:pPr>
        <w:spacing w:after="0"/>
        <w:ind w:left="0"/>
        <w:jc w:val="left"/>
      </w:pPr>
      <w:r>
        <w:rPr>
          <w:rFonts w:ascii="Times New Roman"/>
          <w:b/>
          <w:i w:val="false"/>
          <w:color w:val="000000"/>
        </w:rPr>
        <w:t xml:space="preserve"> List</w:t>
      </w:r>
      <w:r>
        <w:br/>
      </w:r>
      <w:r>
        <w:rPr>
          <w:rFonts w:ascii="Times New Roman"/>
          <w:b/>
          <w:i w:val="false"/>
          <w:color w:val="000000"/>
        </w:rPr>
        <w:t>of officially recognized sources of information on market prices</w:t>
      </w:r>
      <w:r>
        <w:br/>
      </w:r>
      <w:r>
        <w:rPr>
          <w:rFonts w:ascii="Times New Roman"/>
          <w:b/>
          <w:i w:val="false"/>
          <w:color w:val="000000"/>
        </w:rPr>
        <w:t>for crude oil and (or) gas condensate and oil products</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Publisher and </w:t>
            </w:r>
          </w:p>
          <w:p>
            <w:pPr>
              <w:spacing w:after="20"/>
              <w:ind w:left="20"/>
              <w:jc w:val="both"/>
            </w:pPr>
            <w:r>
              <w:rPr>
                <w:rFonts w:ascii="Times New Roman"/>
                <w:b w:val="false"/>
                <w:i w:val="false"/>
                <w:color w:val="000000"/>
                <w:sz w:val="20"/>
              </w:rPr>
              <w:t>
country of publication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 code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Crude Oil Market</w:t>
            </w:r>
          </w:p>
          <w:p>
            <w:pPr>
              <w:spacing w:after="20"/>
              <w:ind w:left="20"/>
              <w:jc w:val="both"/>
            </w:pPr>
            <w:r>
              <w:rPr>
                <w:rFonts w:ascii="Times New Roman"/>
                <w:b w:val="false"/>
                <w:i w:val="false"/>
                <w:color w:val="000000"/>
                <w:sz w:val="20"/>
              </w:rPr>
              <w:t>
Wire Basic</w:t>
            </w:r>
          </w:p>
          <w:p>
            <w:pPr>
              <w:spacing w:after="20"/>
              <w:ind w:left="20"/>
              <w:jc w:val="both"/>
            </w:pPr>
            <w:r>
              <w:rPr>
                <w:rFonts w:ascii="Times New Roman"/>
                <w:b w:val="false"/>
                <w:i w:val="false"/>
                <w:color w:val="000000"/>
                <w:sz w:val="20"/>
              </w:rPr>
              <w:t>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McGraw-Hill</w:t>
            </w:r>
          </w:p>
          <w:p>
            <w:pPr>
              <w:spacing w:after="20"/>
              <w:ind w:left="20"/>
              <w:jc w:val="both"/>
            </w:pPr>
            <w:r>
              <w:rPr>
                <w:rFonts w:ascii="Times New Roman"/>
                <w:b w:val="false"/>
                <w:i w:val="false"/>
                <w:color w:val="000000"/>
                <w:sz w:val="20"/>
              </w:rPr>
              <w:t>
Companies (Platts),</w:t>
            </w:r>
          </w:p>
          <w:p>
            <w:pPr>
              <w:spacing w:after="20"/>
              <w:ind w:left="20"/>
              <w:jc w:val="both"/>
            </w:pPr>
            <w:r>
              <w:rPr>
                <w:rFonts w:ascii="Times New Roman"/>
                <w:b w:val="false"/>
                <w:i w:val="false"/>
                <w:color w:val="000000"/>
                <w:sz w:val="20"/>
              </w:rPr>
              <w:t>
Great Britain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European Market</w:t>
            </w:r>
          </w:p>
          <w:p>
            <w:pPr>
              <w:spacing w:after="20"/>
              <w:ind w:left="20"/>
              <w:jc w:val="both"/>
            </w:pPr>
            <w:r>
              <w:rPr>
                <w:rFonts w:ascii="Times New Roman"/>
                <w:b w:val="false"/>
                <w:i w:val="false"/>
                <w:color w:val="000000"/>
                <w:sz w:val="20"/>
              </w:rPr>
              <w:t>
Scan Basic Service,</w:t>
            </w:r>
          </w:p>
          <w:p>
            <w:pPr>
              <w:spacing w:after="20"/>
              <w:ind w:left="20"/>
              <w:jc w:val="both"/>
            </w:pPr>
            <w:r>
              <w:rPr>
                <w:rFonts w:ascii="Times New Roman"/>
                <w:b w:val="false"/>
                <w:i w:val="false"/>
                <w:color w:val="000000"/>
                <w:sz w:val="20"/>
              </w:rPr>
              <w:t>
Asia-Pacific/ Arab</w:t>
            </w:r>
          </w:p>
          <w:p>
            <w:pPr>
              <w:spacing w:after="20"/>
              <w:ind w:left="20"/>
              <w:jc w:val="both"/>
            </w:pPr>
            <w:r>
              <w:rPr>
                <w:rFonts w:ascii="Times New Roman"/>
                <w:b w:val="false"/>
                <w:i w:val="false"/>
                <w:color w:val="000000"/>
                <w:sz w:val="20"/>
              </w:rPr>
              <w:t>
Gulf MarketSkan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McGraw-Hill</w:t>
            </w:r>
          </w:p>
          <w:p>
            <w:pPr>
              <w:spacing w:after="20"/>
              <w:ind w:left="20"/>
              <w:jc w:val="both"/>
            </w:pPr>
            <w:r>
              <w:rPr>
                <w:rFonts w:ascii="Times New Roman"/>
                <w:b w:val="false"/>
                <w:i w:val="false"/>
                <w:color w:val="000000"/>
                <w:sz w:val="20"/>
              </w:rPr>
              <w:t>
Companies (Platts),</w:t>
            </w:r>
          </w:p>
          <w:p>
            <w:pPr>
              <w:spacing w:after="20"/>
              <w:ind w:left="20"/>
              <w:jc w:val="both"/>
            </w:pPr>
            <w:r>
              <w:rPr>
                <w:rFonts w:ascii="Times New Roman"/>
                <w:b w:val="false"/>
                <w:i w:val="false"/>
                <w:color w:val="000000"/>
                <w:sz w:val="20"/>
              </w:rPr>
              <w:t>
Great Britain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2709 00 100 0,</w:t>
            </w:r>
          </w:p>
          <w:p>
            <w:pPr>
              <w:spacing w:after="20"/>
              <w:ind w:left="20"/>
              <w:jc w:val="both"/>
            </w:pPr>
            <w:r>
              <w:rPr>
                <w:rFonts w:ascii="Times New Roman"/>
                <w:b w:val="false"/>
                <w:i w:val="false"/>
                <w:color w:val="000000"/>
                <w:sz w:val="20"/>
              </w:rPr>
              <w:t>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 Russian Petroleum Market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 Media (Russia) Ltd.</w:t>
            </w:r>
          </w:p>
          <w:p>
            <w:pPr>
              <w:spacing w:after="20"/>
              <w:ind w:left="20"/>
              <w:jc w:val="both"/>
            </w:pPr>
            <w:r>
              <w:rPr>
                <w:rFonts w:ascii="Times New Roman"/>
                <w:b w:val="false"/>
                <w:i w:val="false"/>
                <w:color w:val="000000"/>
                <w:sz w:val="20"/>
              </w:rPr>
              <w:t>
(Petroleumargus),</w:t>
            </w:r>
          </w:p>
          <w:p>
            <w:pPr>
              <w:spacing w:after="20"/>
              <w:ind w:left="20"/>
              <w:jc w:val="both"/>
            </w:pPr>
            <w:r>
              <w:rPr>
                <w:rFonts w:ascii="Times New Roman"/>
                <w:b w:val="false"/>
                <w:i w:val="false"/>
                <w:color w:val="000000"/>
                <w:sz w:val="20"/>
              </w:rPr>
              <w:t>
Great Britain, Russia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w:t>
            </w:r>
          </w:p>
          <w:p>
            <w:pPr>
              <w:spacing w:after="20"/>
              <w:ind w:left="20"/>
              <w:jc w:val="both"/>
            </w:pPr>
            <w:r>
              <w:rPr>
                <w:rFonts w:ascii="Times New Roman"/>
                <w:b w:val="false"/>
                <w:i w:val="false"/>
                <w:color w:val="000000"/>
                <w:sz w:val="20"/>
              </w:rPr>
              <w:t>
Oil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 Petroleum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 Media (Russia) Ltd.</w:t>
            </w:r>
          </w:p>
          <w:p>
            <w:pPr>
              <w:spacing w:after="20"/>
              <w:ind w:left="20"/>
              <w:jc w:val="both"/>
            </w:pPr>
            <w:r>
              <w:rPr>
                <w:rFonts w:ascii="Times New Roman"/>
                <w:b w:val="false"/>
                <w:i w:val="false"/>
                <w:color w:val="000000"/>
                <w:sz w:val="20"/>
              </w:rPr>
              <w:t>
(Petroleumargus),</w:t>
            </w:r>
          </w:p>
          <w:p>
            <w:pPr>
              <w:spacing w:after="20"/>
              <w:ind w:left="20"/>
              <w:jc w:val="both"/>
            </w:pPr>
            <w:r>
              <w:rPr>
                <w:rFonts w:ascii="Times New Roman"/>
                <w:b w:val="false"/>
                <w:i w:val="false"/>
                <w:color w:val="000000"/>
                <w:sz w:val="20"/>
              </w:rPr>
              <w:t>
Great Britain, Russia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Argus Petroleum Product </w:t>
            </w:r>
          </w:p>
          <w:p>
            <w:pPr>
              <w:spacing w:after="20"/>
              <w:ind w:left="20"/>
              <w:jc w:val="both"/>
            </w:pPr>
            <w:r>
              <w:rPr>
                <w:rFonts w:ascii="Times New Roman"/>
                <w:b w:val="false"/>
                <w:i w:val="false"/>
                <w:color w:val="000000"/>
                <w:sz w:val="20"/>
              </w:rPr>
              <w:t>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 Media (Russia) Ltd.</w:t>
            </w:r>
          </w:p>
          <w:p>
            <w:pPr>
              <w:spacing w:after="20"/>
              <w:ind w:left="20"/>
              <w:jc w:val="both"/>
            </w:pPr>
            <w:r>
              <w:rPr>
                <w:rFonts w:ascii="Times New Roman"/>
                <w:b w:val="false"/>
                <w:i w:val="false"/>
                <w:color w:val="000000"/>
                <w:sz w:val="20"/>
              </w:rPr>
              <w:t>
(Petroleumargus),</w:t>
            </w:r>
          </w:p>
          <w:p>
            <w:pPr>
              <w:spacing w:after="20"/>
              <w:ind w:left="20"/>
              <w:jc w:val="both"/>
            </w:pPr>
            <w:r>
              <w:rPr>
                <w:rFonts w:ascii="Times New Roman"/>
                <w:b w:val="false"/>
                <w:i w:val="false"/>
                <w:color w:val="000000"/>
                <w:sz w:val="20"/>
              </w:rPr>
              <w:t>
Great Britain, Russia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 Caspian Market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 Media (Russia) Ltd.</w:t>
            </w:r>
          </w:p>
          <w:p>
            <w:pPr>
              <w:spacing w:after="20"/>
              <w:ind w:left="20"/>
              <w:jc w:val="both"/>
            </w:pPr>
            <w:r>
              <w:rPr>
                <w:rFonts w:ascii="Times New Roman"/>
                <w:b w:val="false"/>
                <w:i w:val="false"/>
                <w:color w:val="000000"/>
                <w:sz w:val="20"/>
              </w:rPr>
              <w:t>
(Petroleumargus),</w:t>
            </w:r>
          </w:p>
          <w:p>
            <w:pPr>
              <w:spacing w:after="20"/>
              <w:ind w:left="20"/>
              <w:jc w:val="both"/>
            </w:pPr>
            <w:r>
              <w:rPr>
                <w:rFonts w:ascii="Times New Roman"/>
                <w:b w:val="false"/>
                <w:i w:val="false"/>
                <w:color w:val="000000"/>
                <w:sz w:val="20"/>
              </w:rPr>
              <w:t>
Great Britain, Russia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w:t>
            </w:r>
          </w:p>
          <w:p>
            <w:pPr>
              <w:spacing w:after="20"/>
              <w:ind w:left="20"/>
              <w:jc w:val="both"/>
            </w:pPr>
            <w:r>
              <w:rPr>
                <w:rFonts w:ascii="Times New Roman"/>
                <w:b w:val="false"/>
                <w:i w:val="false"/>
                <w:color w:val="000000"/>
                <w:sz w:val="20"/>
              </w:rPr>
              <w:t>
Oil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