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ff8f" w14:textId="5d6f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submission of information by state authorities of the Republic of Kazakhstan from its own information systems and resources at the request of the authorized agency for financial monitoring</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1483 dated November 23, 2012. Has become invalid by the Decree of the Government of the Republic of Kazakhstan dated April 14, 2022 No. 223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Has become invalid by the Decree of the Government of the Republic of Kazakhstan dated April 14, 2022 No. 223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3) of Paragraph 2 of Article 18 of the Law of the Republic of Kazakhstan dated August 28, 2009 "On Counteraction of Legalization (Laundering) of Incomes Received by Illegal Means, and Financing of Terrorism",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preamble is in the wording by the Decree of the Government of the Republic of Kazakhstan No. 95 dated 26.02.2015 (shall be enforced from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submission of information by state authorities of the Republic of Kazakhstan from its own information systems and resources at the request of the authorized agency for financial monitoring.</w:t>
      </w:r>
    </w:p>
    <w:p>
      <w:pPr>
        <w:spacing w:after="0"/>
        <w:ind w:left="0"/>
        <w:jc w:val="both"/>
      </w:pPr>
      <w:r>
        <w:rPr>
          <w:rFonts w:ascii="Times New Roman"/>
          <w:b w:val="false"/>
          <w:i w:val="false"/>
          <w:color w:val="000000"/>
          <w:sz w:val="28"/>
        </w:rPr>
        <w:t>
      2. This Decree shall be enforced upon expiry of ten calendar days after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the 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1483 dated November 23, 2012 </w:t>
            </w:r>
          </w:p>
        </w:tc>
      </w:tr>
    </w:tbl>
    <w:p>
      <w:pPr>
        <w:spacing w:after="0"/>
        <w:ind w:left="0"/>
        <w:jc w:val="left"/>
      </w:pPr>
      <w:r>
        <w:rPr>
          <w:rFonts w:ascii="Times New Roman"/>
          <w:b/>
          <w:i w:val="false"/>
          <w:color w:val="000000"/>
        </w:rPr>
        <w:t xml:space="preserve"> Rules </w:t>
      </w:r>
      <w:r>
        <w:br/>
      </w:r>
      <w:r>
        <w:rPr>
          <w:rFonts w:ascii="Times New Roman"/>
          <w:b/>
          <w:i w:val="false"/>
          <w:color w:val="000000"/>
        </w:rPr>
        <w:t>for submission by the state bodies of the Republic of Kazakhstan of information from</w:t>
      </w:r>
      <w:r>
        <w:br/>
      </w:r>
      <w:r>
        <w:rPr>
          <w:rFonts w:ascii="Times New Roman"/>
          <w:b/>
          <w:i w:val="false"/>
          <w:color w:val="000000"/>
        </w:rPr>
        <w:t>its own information systems and resources at the request of the authorized body</w:t>
      </w:r>
      <w:r>
        <w:br/>
      </w:r>
      <w:r>
        <w:rPr>
          <w:rFonts w:ascii="Times New Roman"/>
          <w:b/>
          <w:i w:val="false"/>
          <w:color w:val="000000"/>
        </w:rPr>
        <w:t>for financial monitoring</w:t>
      </w:r>
    </w:p>
    <w:p>
      <w:pPr>
        <w:spacing w:after="0"/>
        <w:ind w:left="0"/>
        <w:jc w:val="both"/>
      </w:pPr>
      <w:r>
        <w:rPr>
          <w:rFonts w:ascii="Times New Roman"/>
          <w:b w:val="false"/>
          <w:i w:val="false"/>
          <w:color w:val="ff0000"/>
          <w:sz w:val="28"/>
        </w:rPr>
        <w:t>
      Footnote. Rules in the wording of the resolution of the Government of the Republic of Kazakhstan dated 01.09.2021 № 595 (shall enter into force upon expiry of ten calendar days after its first official publication).</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submission by the state bodies of the Republic of Kazakhstan of information from its own information systems and resources at the request of the authorized body for financial monitoring (hereinafter referred to as the Rules) have been developed in accordance with Article 18, paragraph 2, subparagraph 3) of the Law of the Republic of Kazakhstan "On countering legalization (laundering) of income from crime and the financing of terrorism" (hereinafter referred to as the Law) and shall determine the procedure for the government bodies of the Republic of Kazakhstan to submit information from their own information systems and resources to the Agency for financial monitoring of the Republic of Kazakhstan (hereinafter referred to as the Agency) in order to counteract the legalization (laundering) of income from crime and the financing of terrorism.</w:t>
      </w:r>
    </w:p>
    <w:p>
      <w:pPr>
        <w:spacing w:after="0"/>
        <w:ind w:left="0"/>
        <w:jc w:val="both"/>
      </w:pPr>
      <w:r>
        <w:rPr>
          <w:rFonts w:ascii="Times New Roman"/>
          <w:b w:val="false"/>
          <w:i w:val="false"/>
          <w:color w:val="000000"/>
          <w:sz w:val="28"/>
        </w:rPr>
        <w:t>
      2. The following terms and concepts shall be used in these Rules:</w:t>
      </w:r>
    </w:p>
    <w:p>
      <w:pPr>
        <w:spacing w:after="0"/>
        <w:ind w:left="0"/>
        <w:jc w:val="both"/>
      </w:pPr>
      <w:r>
        <w:rPr>
          <w:rFonts w:ascii="Times New Roman"/>
          <w:b w:val="false"/>
          <w:i w:val="false"/>
          <w:color w:val="000000"/>
          <w:sz w:val="28"/>
        </w:rPr>
        <w:t>
      1) automated workplace (hereinafter referred to as HSC) - a hardware and software complex that shall provide the creation, collection, processing, accumulation, storage, search, distribution and consumption of information;</w:t>
      </w:r>
    </w:p>
    <w:p>
      <w:pPr>
        <w:spacing w:after="0"/>
        <w:ind w:left="0"/>
        <w:jc w:val="both"/>
      </w:pPr>
      <w:r>
        <w:rPr>
          <w:rFonts w:ascii="Times New Roman"/>
          <w:b w:val="false"/>
          <w:i w:val="false"/>
          <w:color w:val="000000"/>
          <w:sz w:val="28"/>
        </w:rPr>
        <w:t>
      2) information system - an organizational and ordered set of information and communication technologies, maintenance personnel and technical documentation implementing certain technological actions through information interaction and shall be designed to solve specific functional problems;</w:t>
      </w:r>
    </w:p>
    <w:p>
      <w:pPr>
        <w:spacing w:after="0"/>
        <w:ind w:left="0"/>
        <w:jc w:val="both"/>
      </w:pPr>
      <w:r>
        <w:rPr>
          <w:rFonts w:ascii="Times New Roman"/>
          <w:b w:val="false"/>
          <w:i w:val="false"/>
          <w:color w:val="000000"/>
          <w:sz w:val="28"/>
        </w:rPr>
        <w:t>
      3) electronic information resources - information in electronic and digital form contained on an electronic medium and in informatization objects;</w:t>
      </w:r>
    </w:p>
    <w:p>
      <w:pPr>
        <w:spacing w:after="0"/>
        <w:ind w:left="0"/>
        <w:jc w:val="both"/>
      </w:pPr>
      <w:r>
        <w:rPr>
          <w:rFonts w:ascii="Times New Roman"/>
          <w:b w:val="false"/>
          <w:i w:val="false"/>
          <w:color w:val="000000"/>
          <w:sz w:val="28"/>
        </w:rPr>
        <w:t>
      4) participants of information interaction - the Agency and the relevant state body of the Republic of Kazakhstan, submitting information from its own information systems and resources to the Agency in accordance with these Rules;</w:t>
      </w:r>
    </w:p>
    <w:p>
      <w:pPr>
        <w:spacing w:after="0"/>
        <w:ind w:left="0"/>
        <w:jc w:val="both"/>
      </w:pPr>
      <w:r>
        <w:rPr>
          <w:rFonts w:ascii="Times New Roman"/>
          <w:b w:val="false"/>
          <w:i w:val="false"/>
          <w:color w:val="000000"/>
          <w:sz w:val="28"/>
        </w:rPr>
        <w:t>
      5) the unified transport environment of state bodies (hereinafter referred to as UTE SB) - telecommunication network, which shall be a part of the information and communication infrastructure of the "electronic government" and shall be designed to ensure the interaction of local (with the exception of local networks with access to the Internet), departmental and corporate telecommunication networks of state bodies, their subordinate organizations and local governments, as well as other informatization entities determined by the authorized body, in compliance with the required level of information security;</w:t>
      </w:r>
    </w:p>
    <w:p>
      <w:pPr>
        <w:spacing w:after="0"/>
        <w:ind w:left="0"/>
        <w:jc w:val="both"/>
      </w:pPr>
      <w:r>
        <w:rPr>
          <w:rFonts w:ascii="Times New Roman"/>
          <w:b w:val="false"/>
          <w:i w:val="false"/>
          <w:color w:val="000000"/>
          <w:sz w:val="28"/>
        </w:rPr>
        <w:t>
      6) ISaR SB - information systems and resources of state bodies of the Republic of Kazakhstan.</w:t>
      </w:r>
    </w:p>
    <w:p>
      <w:pPr>
        <w:spacing w:after="0"/>
        <w:ind w:left="0"/>
        <w:jc w:val="left"/>
      </w:pPr>
      <w:r>
        <w:rPr>
          <w:rFonts w:ascii="Times New Roman"/>
          <w:b/>
          <w:i w:val="false"/>
          <w:color w:val="000000"/>
        </w:rPr>
        <w:t xml:space="preserve"> 2. Procedure for presentation of information from information systems and resources</w:t>
      </w:r>
    </w:p>
    <w:p>
      <w:pPr>
        <w:spacing w:after="0"/>
        <w:ind w:left="0"/>
        <w:jc w:val="both"/>
      </w:pPr>
      <w:r>
        <w:rPr>
          <w:rFonts w:ascii="Times New Roman"/>
          <w:b w:val="false"/>
          <w:i w:val="false"/>
          <w:color w:val="000000"/>
          <w:sz w:val="28"/>
        </w:rPr>
        <w:t>
      3. The state bodies of the Republic of Kazakhstan shall submit information from their own ISaR SB to the Agency in the following ways:</w:t>
      </w:r>
    </w:p>
    <w:p>
      <w:pPr>
        <w:spacing w:after="0"/>
        <w:ind w:left="0"/>
        <w:jc w:val="both"/>
      </w:pPr>
      <w:r>
        <w:rPr>
          <w:rFonts w:ascii="Times New Roman"/>
          <w:b w:val="false"/>
          <w:i w:val="false"/>
          <w:color w:val="000000"/>
          <w:sz w:val="28"/>
        </w:rPr>
        <w:t>
      1) through the integration of the Agency's information systems with the ISaR SB databases through the UTE SB, which shall be carried out in accordance with the legislation of the Republic of Kazakhstan on informatization;</w:t>
      </w:r>
    </w:p>
    <w:p>
      <w:pPr>
        <w:spacing w:after="0"/>
        <w:ind w:left="0"/>
        <w:jc w:val="both"/>
      </w:pPr>
      <w:r>
        <w:rPr>
          <w:rFonts w:ascii="Times New Roman"/>
          <w:b w:val="false"/>
          <w:i w:val="false"/>
          <w:color w:val="000000"/>
          <w:sz w:val="28"/>
        </w:rPr>
        <w:t>
      2) by providing access to the HSC in case it is not possible to transfer information by the methods specified in paragraph 3, subparagraph 1) of these Rules;</w:t>
      </w:r>
    </w:p>
    <w:p>
      <w:pPr>
        <w:spacing w:after="0"/>
        <w:ind w:left="0"/>
        <w:jc w:val="both"/>
      </w:pPr>
      <w:r>
        <w:rPr>
          <w:rFonts w:ascii="Times New Roman"/>
          <w:b w:val="false"/>
          <w:i w:val="false"/>
          <w:color w:val="000000"/>
          <w:sz w:val="28"/>
        </w:rPr>
        <w:t>
      3) by providing access to the ISaR SB databases through the UTE SB in the request and response mode, if it is not possible to transfer information by the methods specified in paragraphs 1) and 2) of paragraph 3 of these Rules;</w:t>
      </w:r>
    </w:p>
    <w:p>
      <w:pPr>
        <w:spacing w:after="0"/>
        <w:ind w:left="0"/>
        <w:jc w:val="both"/>
      </w:pPr>
      <w:r>
        <w:rPr>
          <w:rFonts w:ascii="Times New Roman"/>
          <w:b w:val="false"/>
          <w:i w:val="false"/>
          <w:color w:val="000000"/>
          <w:sz w:val="28"/>
        </w:rPr>
        <w:t>
      4) by uploading information to the information resources of the Agency, if it is not possible to transfer information by the methods specified in paragraph 3, subparagraphs 1) - 3) of  these Rules;</w:t>
      </w:r>
    </w:p>
    <w:p>
      <w:pPr>
        <w:spacing w:after="0"/>
        <w:ind w:left="0"/>
        <w:jc w:val="both"/>
      </w:pPr>
      <w:r>
        <w:rPr>
          <w:rFonts w:ascii="Times New Roman"/>
          <w:b w:val="false"/>
          <w:i w:val="false"/>
          <w:color w:val="000000"/>
          <w:sz w:val="28"/>
        </w:rPr>
        <w:t>
      5) on paper, if it is not possible to transfer information by the methods specified in paragraphs 3, paragraph  1) - 4) of these Rules.</w:t>
      </w:r>
    </w:p>
    <w:p>
      <w:pPr>
        <w:spacing w:after="0"/>
        <w:ind w:left="0"/>
        <w:jc w:val="both"/>
      </w:pPr>
      <w:r>
        <w:rPr>
          <w:rFonts w:ascii="Times New Roman"/>
          <w:b w:val="false"/>
          <w:i w:val="false"/>
          <w:color w:val="000000"/>
          <w:sz w:val="28"/>
        </w:rPr>
        <w:t>
      4. State bodies of the Republic of Kazakhstan shall submit information from information resources of limited access to the Agency in the manner specified in paragraph 3, subparagraph 5) of these Rules, in compliance with the requirements of the legislation of the Republic of Kazakhstan on state secrets.</w:t>
      </w:r>
    </w:p>
    <w:p>
      <w:pPr>
        <w:spacing w:after="0"/>
        <w:ind w:left="0"/>
        <w:jc w:val="both"/>
      </w:pPr>
      <w:r>
        <w:rPr>
          <w:rFonts w:ascii="Times New Roman"/>
          <w:b w:val="false"/>
          <w:i w:val="false"/>
          <w:color w:val="000000"/>
          <w:sz w:val="28"/>
        </w:rPr>
        <w:t>
      5. Information and terms of their submission from information systems and resources shall be determined by participants of information interaction in accordance with the joint approved act.</w:t>
      </w:r>
    </w:p>
    <w:p>
      <w:pPr>
        <w:spacing w:after="0"/>
        <w:ind w:left="0"/>
        <w:jc w:val="both"/>
      </w:pPr>
      <w:r>
        <w:rPr>
          <w:rFonts w:ascii="Times New Roman"/>
          <w:b w:val="false"/>
          <w:i w:val="false"/>
          <w:color w:val="000000"/>
          <w:sz w:val="28"/>
        </w:rPr>
        <w:t>
      6. Participants of information interaction shall observe confidentiality of information received within the framework of these Rules, and shall ensure the mode of storage, protection and preservation of information received in the process of their activities, which constitute a service, commercial, banking or other secret protected by law.</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