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9222" w14:textId="dd69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ensuring information security in the framework of common customs processes in the member states of the Eurasian Economic Community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January 24, 2013 No. 30</w:t>
      </w:r>
    </w:p>
    <w:p>
      <w:pPr>
        <w:spacing w:after="0"/>
        <w:ind w:left="0"/>
        <w:jc w:val="both"/>
      </w:pPr>
      <w:r>
        <w:rPr>
          <w:rFonts w:ascii="Times New Roman"/>
          <w:b w:val="false"/>
          <w:i w:val="false"/>
          <w:color w:val="000000"/>
          <w:sz w:val="28"/>
        </w:rPr>
        <w:t>
      Unofficial translation</w:t>
      </w:r>
    </w:p>
    <w:bookmarkStart w:name="z2" w:id="0"/>
    <w:p>
      <w:pPr>
        <w:spacing w:after="0"/>
        <w:ind w:left="0"/>
        <w:jc w:val="both"/>
      </w:pPr>
      <w:r>
        <w:rPr>
          <w:rFonts w:ascii="Times New Roman"/>
          <w:b w:val="false"/>
          <w:i w:val="false"/>
          <w:color w:val="000000"/>
          <w:sz w:val="28"/>
        </w:rPr>
        <w:t>
      The Government of the Republic of Kazakhstan RESOLVES:</w:t>
      </w:r>
    </w:p>
    <w:bookmarkEnd w:id="0"/>
    <w:bookmarkStart w:name="z3" w:id="1"/>
    <w:p>
      <w:pPr>
        <w:spacing w:after="0"/>
        <w:ind w:left="0"/>
        <w:jc w:val="both"/>
      </w:pPr>
      <w:r>
        <w:rPr>
          <w:rFonts w:ascii="Times New Roman"/>
          <w:b w:val="false"/>
          <w:i w:val="false"/>
          <w:color w:val="000000"/>
          <w:sz w:val="28"/>
        </w:rPr>
        <w:t>
      1. To approve the attached Agreement on ensuring information security in the framework of common customs processes in the member states of the Eurasian Economic Community, executed in the city of Minsk on May 19, 2011.</w:t>
      </w:r>
    </w:p>
    <w:bookmarkEnd w:id="1"/>
    <w:bookmarkStart w:name="z4" w:id="2"/>
    <w:p>
      <w:pPr>
        <w:spacing w:after="0"/>
        <w:ind w:left="0"/>
        <w:jc w:val="both"/>
      </w:pPr>
      <w:r>
        <w:rPr>
          <w:rFonts w:ascii="Times New Roman"/>
          <w:b w:val="false"/>
          <w:i w:val="false"/>
          <w:color w:val="000000"/>
          <w:sz w:val="28"/>
        </w:rPr>
        <w:t>
      2. This resolution shall take effect from the date of signing.</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Resolution No. 30 </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of January 24, 2013</w:t>
            </w:r>
          </w:p>
        </w:tc>
      </w:tr>
    </w:tbl>
    <w:bookmarkStart w:name="z6" w:id="3"/>
    <w:p>
      <w:pPr>
        <w:spacing w:after="0"/>
        <w:ind w:left="0"/>
        <w:jc w:val="left"/>
      </w:pPr>
      <w:r>
        <w:rPr>
          <w:rFonts w:ascii="Times New Roman"/>
          <w:b/>
          <w:i w:val="false"/>
          <w:color w:val="000000"/>
        </w:rPr>
        <w:t xml:space="preserve"> AGREEMENT</w:t>
      </w:r>
    </w:p>
    <w:bookmarkEnd w:id="3"/>
    <w:bookmarkStart w:name="z7" w:id="4"/>
    <w:p>
      <w:pPr>
        <w:spacing w:after="0"/>
        <w:ind w:left="0"/>
        <w:jc w:val="left"/>
      </w:pPr>
      <w:r>
        <w:rPr>
          <w:rFonts w:ascii="Times New Roman"/>
          <w:b/>
          <w:i w:val="false"/>
          <w:color w:val="000000"/>
        </w:rPr>
        <w:t xml:space="preserve"> on ensuring information security in the framework of common customs processes in the member states of the Eurasian Economic Community</w:t>
      </w:r>
    </w:p>
    <w:bookmarkEnd w:id="4"/>
    <w:bookmarkStart w:name="z8" w:id="5"/>
    <w:p>
      <w:pPr>
        <w:spacing w:after="0"/>
        <w:ind w:left="0"/>
        <w:jc w:val="both"/>
      </w:pPr>
      <w:r>
        <w:rPr>
          <w:rFonts w:ascii="Times New Roman"/>
          <w:b w:val="false"/>
          <w:i w:val="false"/>
          <w:color w:val="000000"/>
          <w:sz w:val="28"/>
        </w:rPr>
        <w:t xml:space="preserve">
      The governments of the member states of the Eurasian Economic Community, hereinafter the Parties, </w:t>
      </w:r>
    </w:p>
    <w:bookmarkEnd w:id="5"/>
    <w:bookmarkStart w:name="z9" w:id="6"/>
    <w:p>
      <w:pPr>
        <w:spacing w:after="0"/>
        <w:ind w:left="0"/>
        <w:jc w:val="both"/>
      </w:pPr>
      <w:r>
        <w:rPr>
          <w:rFonts w:ascii="Times New Roman"/>
          <w:b w:val="false"/>
          <w:i w:val="false"/>
          <w:color w:val="000000"/>
          <w:sz w:val="28"/>
        </w:rPr>
        <w:t>
      guided by the Protocol on the organization of the information exchange on the goods and vehicles movement between the customs services of the member states of the Eurasian Economic Community of December 19, 2001, the Agreement on single approaches to the application of information technologies in the activities of customs services of the member states of the Eurasian Economic Community of June 9, 2009 and the Agreement on single principles of information Interaction between the customs services of the member states of the Eurasian Economic Community of June 9, 2009,</w:t>
      </w:r>
    </w:p>
    <w:bookmarkEnd w:id="6"/>
    <w:bookmarkStart w:name="z10" w:id="7"/>
    <w:p>
      <w:pPr>
        <w:spacing w:after="0"/>
        <w:ind w:left="0"/>
        <w:jc w:val="both"/>
      </w:pPr>
      <w:r>
        <w:rPr>
          <w:rFonts w:ascii="Times New Roman"/>
          <w:b w:val="false"/>
          <w:i w:val="false"/>
          <w:color w:val="000000"/>
          <w:sz w:val="28"/>
        </w:rPr>
        <w:t>
      for the purpose of ensuring informational security of the interaction of automated systems in the control of common customs processes in the member states of the Eurasian Economic Community,</w:t>
      </w:r>
    </w:p>
    <w:bookmarkEnd w:id="7"/>
    <w:bookmarkStart w:name="z11" w:id="8"/>
    <w:p>
      <w:pPr>
        <w:spacing w:after="0"/>
        <w:ind w:left="0"/>
        <w:jc w:val="both"/>
      </w:pPr>
      <w:r>
        <w:rPr>
          <w:rFonts w:ascii="Times New Roman"/>
          <w:b w:val="false"/>
          <w:i w:val="false"/>
          <w:color w:val="000000"/>
          <w:sz w:val="28"/>
        </w:rPr>
        <w:t>
      for the purpose of creating conditions for acceleration and facilitation of the commodities and vehicles movement through the territories of the Eurasian Economic Community member states,</w:t>
      </w:r>
    </w:p>
    <w:bookmarkEnd w:id="8"/>
    <w:bookmarkStart w:name="z12" w:id="9"/>
    <w:p>
      <w:pPr>
        <w:spacing w:after="0"/>
        <w:ind w:left="0"/>
        <w:jc w:val="both"/>
      </w:pPr>
      <w:r>
        <w:rPr>
          <w:rFonts w:ascii="Times New Roman"/>
          <w:b w:val="false"/>
          <w:i w:val="false"/>
          <w:color w:val="000000"/>
          <w:sz w:val="28"/>
        </w:rPr>
        <w:t>
      have agreed as follows:</w:t>
      </w:r>
    </w:p>
    <w:bookmarkEnd w:id="9"/>
    <w:p>
      <w:pPr>
        <w:spacing w:after="0"/>
        <w:ind w:left="0"/>
        <w:jc w:val="both"/>
      </w:pPr>
      <w:r>
        <w:rPr>
          <w:rFonts w:ascii="Times New Roman"/>
          <w:b/>
          <w:i w:val="false"/>
          <w:color w:val="000000"/>
          <w:sz w:val="28"/>
        </w:rPr>
        <w:t>Article 1</w:t>
      </w:r>
    </w:p>
    <w:bookmarkStart w:name="z14" w:id="10"/>
    <w:p>
      <w:pPr>
        <w:spacing w:after="0"/>
        <w:ind w:left="0"/>
        <w:jc w:val="both"/>
      </w:pPr>
      <w:r>
        <w:rPr>
          <w:rFonts w:ascii="Times New Roman"/>
          <w:b w:val="false"/>
          <w:i w:val="false"/>
          <w:color w:val="000000"/>
          <w:sz w:val="28"/>
        </w:rPr>
        <w:t>
      1. For the purposes of this Agreement, the following terms and definitions shall be used:</w:t>
      </w:r>
    </w:p>
    <w:bookmarkEnd w:id="10"/>
    <w:bookmarkStart w:name="z15" w:id="11"/>
    <w:p>
      <w:pPr>
        <w:spacing w:after="0"/>
        <w:ind w:left="0"/>
        <w:jc w:val="both"/>
      </w:pPr>
      <w:r>
        <w:rPr>
          <w:rFonts w:ascii="Times New Roman"/>
          <w:b w:val="false"/>
          <w:i w:val="false"/>
          <w:color w:val="000000"/>
          <w:sz w:val="28"/>
        </w:rPr>
        <w:t>
      electronic message - information transmitted or received using the information and telecommunication network;</w:t>
      </w:r>
    </w:p>
    <w:bookmarkEnd w:id="11"/>
    <w:bookmarkStart w:name="z16" w:id="12"/>
    <w:p>
      <w:pPr>
        <w:spacing w:after="0"/>
        <w:ind w:left="0"/>
        <w:jc w:val="both"/>
      </w:pPr>
      <w:r>
        <w:rPr>
          <w:rFonts w:ascii="Times New Roman"/>
          <w:b w:val="false"/>
          <w:i w:val="false"/>
          <w:color w:val="000000"/>
          <w:sz w:val="28"/>
        </w:rPr>
        <w:t>
      information – data on persons, objects, facts, events, phenomena and processes, regardless of the form of their presentation;</w:t>
      </w:r>
    </w:p>
    <w:bookmarkEnd w:id="12"/>
    <w:bookmarkStart w:name="z17" w:id="13"/>
    <w:p>
      <w:pPr>
        <w:spacing w:after="0"/>
        <w:ind w:left="0"/>
        <w:jc w:val="both"/>
      </w:pPr>
      <w:r>
        <w:rPr>
          <w:rFonts w:ascii="Times New Roman"/>
          <w:b w:val="false"/>
          <w:i w:val="false"/>
          <w:color w:val="000000"/>
          <w:sz w:val="28"/>
        </w:rPr>
        <w:t>
      confidentiality of information - a requirement for a person who has gained access to certain information not to transfer such information to third parties without the consent of its owner and to protect this information from unauthorized access.</w:t>
      </w:r>
    </w:p>
    <w:bookmarkEnd w:id="13"/>
    <w:bookmarkStart w:name="z18" w:id="14"/>
    <w:p>
      <w:pPr>
        <w:spacing w:after="0"/>
        <w:ind w:left="0"/>
        <w:jc w:val="both"/>
      </w:pPr>
      <w:r>
        <w:rPr>
          <w:rFonts w:ascii="Times New Roman"/>
          <w:b w:val="false"/>
          <w:i w:val="false"/>
          <w:color w:val="000000"/>
          <w:sz w:val="28"/>
        </w:rPr>
        <w:t>
      2. Terms not specifically defined in this Agreement are used in the meanings established by other international treaties concluded within the framework of the Eurasian Economic Community.</w:t>
      </w:r>
    </w:p>
    <w:bookmarkEnd w:id="14"/>
    <w:p>
      <w:pPr>
        <w:spacing w:after="0"/>
        <w:ind w:left="0"/>
        <w:jc w:val="both"/>
      </w:pPr>
      <w:r>
        <w:rPr>
          <w:rFonts w:ascii="Times New Roman"/>
          <w:b/>
          <w:i w:val="false"/>
          <w:color w:val="000000"/>
          <w:sz w:val="28"/>
        </w:rPr>
        <w:t>Article 2</w:t>
      </w:r>
    </w:p>
    <w:bookmarkStart w:name="z20" w:id="15"/>
    <w:p>
      <w:pPr>
        <w:spacing w:after="0"/>
        <w:ind w:left="0"/>
        <w:jc w:val="both"/>
      </w:pPr>
      <w:r>
        <w:rPr>
          <w:rFonts w:ascii="Times New Roman"/>
          <w:b w:val="false"/>
          <w:i w:val="false"/>
          <w:color w:val="000000"/>
          <w:sz w:val="28"/>
        </w:rPr>
        <w:t>
      The informational exchange of electronic communications in the control of common customs processes in the Eurasian Economic Community member states shall be carried out with the use of means ensuring security of the transmitted information, approved for use by the authorized bodies of the Parties.</w:t>
      </w:r>
    </w:p>
    <w:bookmarkEnd w:id="15"/>
    <w:bookmarkStart w:name="z21" w:id="16"/>
    <w:p>
      <w:pPr>
        <w:spacing w:after="0"/>
        <w:ind w:left="0"/>
        <w:jc w:val="both"/>
      </w:pPr>
      <w:r>
        <w:rPr>
          <w:rFonts w:ascii="Times New Roman"/>
          <w:b w:val="false"/>
          <w:i w:val="false"/>
          <w:color w:val="000000"/>
          <w:sz w:val="28"/>
        </w:rPr>
        <w:t>
      Electronic communications shall not contain information, access to which is limited in accordance with the national laws of the Parties.</w:t>
      </w:r>
    </w:p>
    <w:bookmarkEnd w:id="16"/>
    <w:bookmarkStart w:name="z22" w:id="17"/>
    <w:p>
      <w:pPr>
        <w:spacing w:after="0"/>
        <w:ind w:left="0"/>
        <w:jc w:val="both"/>
      </w:pPr>
      <w:r>
        <w:rPr>
          <w:rFonts w:ascii="Times New Roman"/>
          <w:b w:val="false"/>
          <w:i w:val="false"/>
          <w:color w:val="000000"/>
          <w:sz w:val="28"/>
        </w:rPr>
        <w:t>
      The information received in the information exchange process shall be used exclusively for customs purposes.</w:t>
      </w:r>
    </w:p>
    <w:bookmarkEnd w:id="17"/>
    <w:p>
      <w:pPr>
        <w:spacing w:after="0"/>
        <w:ind w:left="0"/>
        <w:jc w:val="both"/>
      </w:pPr>
      <w:r>
        <w:rPr>
          <w:rFonts w:ascii="Times New Roman"/>
          <w:b/>
          <w:i w:val="false"/>
          <w:color w:val="000000"/>
          <w:sz w:val="28"/>
        </w:rPr>
        <w:t>Article 3</w:t>
      </w:r>
    </w:p>
    <w:bookmarkStart w:name="z24" w:id="18"/>
    <w:p>
      <w:pPr>
        <w:spacing w:after="0"/>
        <w:ind w:left="0"/>
        <w:jc w:val="both"/>
      </w:pPr>
      <w:r>
        <w:rPr>
          <w:rFonts w:ascii="Times New Roman"/>
          <w:b w:val="false"/>
          <w:i w:val="false"/>
          <w:color w:val="000000"/>
          <w:sz w:val="28"/>
        </w:rPr>
        <w:t>
      The customs services of the Parties shall independently, in accordance with their national legislation, take measures to protect the information transmitted in the information exchange process in their automated information systems. The measures taken are required to ensure:</w:t>
      </w:r>
    </w:p>
    <w:bookmarkEnd w:id="18"/>
    <w:bookmarkStart w:name="z25" w:id="19"/>
    <w:p>
      <w:pPr>
        <w:spacing w:after="0"/>
        <w:ind w:left="0"/>
        <w:jc w:val="both"/>
      </w:pPr>
      <w:r>
        <w:rPr>
          <w:rFonts w:ascii="Times New Roman"/>
          <w:b w:val="false"/>
          <w:i w:val="false"/>
          <w:color w:val="000000"/>
          <w:sz w:val="28"/>
        </w:rPr>
        <w:t>
      protection of information and computing resources from infection by software (computer) viruses;</w:t>
      </w:r>
    </w:p>
    <w:bookmarkEnd w:id="19"/>
    <w:bookmarkStart w:name="z26" w:id="20"/>
    <w:p>
      <w:pPr>
        <w:spacing w:after="0"/>
        <w:ind w:left="0"/>
        <w:jc w:val="both"/>
      </w:pPr>
      <w:r>
        <w:rPr>
          <w:rFonts w:ascii="Times New Roman"/>
          <w:b w:val="false"/>
          <w:i w:val="false"/>
          <w:color w:val="000000"/>
          <w:sz w:val="28"/>
        </w:rPr>
        <w:t>
      protection against unauthorized access to computer hardware and telecommunication devices involved in the information exchange;</w:t>
      </w:r>
    </w:p>
    <w:bookmarkEnd w:id="20"/>
    <w:bookmarkStart w:name="z27" w:id="21"/>
    <w:p>
      <w:pPr>
        <w:spacing w:after="0"/>
        <w:ind w:left="0"/>
        <w:jc w:val="both"/>
      </w:pPr>
      <w:r>
        <w:rPr>
          <w:rFonts w:ascii="Times New Roman"/>
          <w:b w:val="false"/>
          <w:i w:val="false"/>
          <w:color w:val="000000"/>
          <w:sz w:val="28"/>
        </w:rPr>
        <w:t>
      protection against unauthorized access to the information obtained during the electronic communications informational exchange;</w:t>
      </w:r>
    </w:p>
    <w:bookmarkEnd w:id="21"/>
    <w:bookmarkStart w:name="z28" w:id="22"/>
    <w:p>
      <w:pPr>
        <w:spacing w:after="0"/>
        <w:ind w:left="0"/>
        <w:jc w:val="both"/>
      </w:pPr>
      <w:r>
        <w:rPr>
          <w:rFonts w:ascii="Times New Roman"/>
          <w:b w:val="false"/>
          <w:i w:val="false"/>
          <w:color w:val="000000"/>
          <w:sz w:val="28"/>
        </w:rPr>
        <w:t>
      ensuring network security during interworking both in the own automated information systems and in the information exchange;</w:t>
      </w:r>
    </w:p>
    <w:bookmarkEnd w:id="22"/>
    <w:bookmarkStart w:name="z29" w:id="23"/>
    <w:p>
      <w:pPr>
        <w:spacing w:after="0"/>
        <w:ind w:left="0"/>
        <w:jc w:val="both"/>
      </w:pPr>
      <w:r>
        <w:rPr>
          <w:rFonts w:ascii="Times New Roman"/>
          <w:b w:val="false"/>
          <w:i w:val="false"/>
          <w:color w:val="000000"/>
          <w:sz w:val="28"/>
        </w:rPr>
        <w:t>
      integrity, accessibility and confidentiality of information during its processing and transmission in the own automated information systems;</w:t>
      </w:r>
    </w:p>
    <w:bookmarkEnd w:id="23"/>
    <w:bookmarkStart w:name="z30" w:id="24"/>
    <w:p>
      <w:pPr>
        <w:spacing w:after="0"/>
        <w:ind w:left="0"/>
        <w:jc w:val="both"/>
      </w:pPr>
      <w:r>
        <w:rPr>
          <w:rFonts w:ascii="Times New Roman"/>
          <w:b w:val="false"/>
          <w:i w:val="false"/>
          <w:color w:val="000000"/>
          <w:sz w:val="28"/>
        </w:rPr>
        <w:t>
      attack detection and security analysis.</w:t>
      </w:r>
    </w:p>
    <w:bookmarkEnd w:id="24"/>
    <w:p>
      <w:pPr>
        <w:spacing w:after="0"/>
        <w:ind w:left="0"/>
        <w:jc w:val="both"/>
      </w:pPr>
      <w:r>
        <w:rPr>
          <w:rFonts w:ascii="Times New Roman"/>
          <w:b/>
          <w:i w:val="false"/>
          <w:color w:val="000000"/>
          <w:sz w:val="28"/>
        </w:rPr>
        <w:t>Article 4</w:t>
      </w:r>
    </w:p>
    <w:bookmarkStart w:name="z32" w:id="25"/>
    <w:p>
      <w:pPr>
        <w:spacing w:after="0"/>
        <w:ind w:left="0"/>
        <w:jc w:val="both"/>
      </w:pPr>
      <w:r>
        <w:rPr>
          <w:rFonts w:ascii="Times New Roman"/>
          <w:b w:val="false"/>
          <w:i w:val="false"/>
          <w:color w:val="000000"/>
          <w:sz w:val="28"/>
        </w:rPr>
        <w:t>
      Direct informational exchange of electronic communications shall be carried out between the customs services of the Parties using the systems that ensure guaranteed delivery of electronic messages and protect the transmitted data at the transport level.</w:t>
      </w:r>
    </w:p>
    <w:bookmarkEnd w:id="25"/>
    <w:bookmarkStart w:name="z33" w:id="26"/>
    <w:p>
      <w:pPr>
        <w:spacing w:after="0"/>
        <w:ind w:left="0"/>
        <w:jc w:val="both"/>
      </w:pPr>
      <w:r>
        <w:rPr>
          <w:rFonts w:ascii="Times New Roman"/>
          <w:b w:val="false"/>
          <w:i w:val="false"/>
          <w:color w:val="000000"/>
          <w:sz w:val="28"/>
        </w:rPr>
        <w:t>
      The composition, format, structure of the transmitted information, and also the rules for its transfer, shall be agreed upon by the customs services of the Parties on bilateral and multilateral basis.</w:t>
      </w:r>
    </w:p>
    <w:bookmarkEnd w:id="26"/>
    <w:bookmarkStart w:name="z34" w:id="27"/>
    <w:p>
      <w:pPr>
        <w:spacing w:after="0"/>
        <w:ind w:left="0"/>
        <w:jc w:val="both"/>
      </w:pPr>
      <w:r>
        <w:rPr>
          <w:rFonts w:ascii="Times New Roman"/>
          <w:b w:val="false"/>
          <w:i w:val="false"/>
          <w:color w:val="000000"/>
          <w:sz w:val="28"/>
        </w:rPr>
        <w:t>
      The requirements for computer hardware, software and communications necessary for ensuring information interaction in accordance with this Agreement shall be determined by the technical conditions of information interaction between the customs services of the Parties and international standards.</w:t>
      </w:r>
    </w:p>
    <w:bookmarkEnd w:id="27"/>
    <w:p>
      <w:pPr>
        <w:spacing w:after="0"/>
        <w:ind w:left="0"/>
        <w:jc w:val="both"/>
      </w:pPr>
      <w:r>
        <w:rPr>
          <w:rFonts w:ascii="Times New Roman"/>
          <w:b/>
          <w:i w:val="false"/>
          <w:color w:val="000000"/>
          <w:sz w:val="28"/>
        </w:rPr>
        <w:t>Article 5</w:t>
      </w:r>
    </w:p>
    <w:bookmarkStart w:name="z36" w:id="28"/>
    <w:p>
      <w:pPr>
        <w:spacing w:after="0"/>
        <w:ind w:left="0"/>
        <w:jc w:val="both"/>
      </w:pPr>
      <w:r>
        <w:rPr>
          <w:rFonts w:ascii="Times New Roman"/>
          <w:b w:val="false"/>
          <w:i w:val="false"/>
          <w:color w:val="000000"/>
          <w:sz w:val="28"/>
        </w:rPr>
        <w:t>
      For the informational interaction in the customs processes control of the Eurasian Economic Community member states, no requirements are set:</w:t>
      </w:r>
    </w:p>
    <w:bookmarkEnd w:id="28"/>
    <w:bookmarkStart w:name="z37" w:id="29"/>
    <w:p>
      <w:pPr>
        <w:spacing w:after="0"/>
        <w:ind w:left="0"/>
        <w:jc w:val="both"/>
      </w:pPr>
      <w:r>
        <w:rPr>
          <w:rFonts w:ascii="Times New Roman"/>
          <w:b w:val="false"/>
          <w:i w:val="false"/>
          <w:color w:val="000000"/>
          <w:sz w:val="28"/>
        </w:rPr>
        <w:t>
      on ensuring legal significance of electronic communications received in the information exchange;</w:t>
      </w:r>
    </w:p>
    <w:bookmarkEnd w:id="29"/>
    <w:bookmarkStart w:name="z38" w:id="30"/>
    <w:p>
      <w:pPr>
        <w:spacing w:after="0"/>
        <w:ind w:left="0"/>
        <w:jc w:val="both"/>
      </w:pPr>
      <w:r>
        <w:rPr>
          <w:rFonts w:ascii="Times New Roman"/>
          <w:b w:val="false"/>
          <w:i w:val="false"/>
          <w:color w:val="000000"/>
          <w:sz w:val="28"/>
        </w:rPr>
        <w:t>
      on the use of electronic digital signatures in electronic messaging.</w:t>
      </w:r>
    </w:p>
    <w:bookmarkEnd w:id="30"/>
    <w:bookmarkStart w:name="z39" w:id="31"/>
    <w:p>
      <w:pPr>
        <w:spacing w:after="0"/>
        <w:ind w:left="0"/>
        <w:jc w:val="both"/>
      </w:pPr>
      <w:r>
        <w:rPr>
          <w:rFonts w:ascii="Times New Roman"/>
          <w:b w:val="false"/>
          <w:i w:val="false"/>
          <w:color w:val="000000"/>
          <w:sz w:val="28"/>
        </w:rPr>
        <w:t>
      The parties may conclude additional international treaties on a bilateral and multilateral basis with the aim of giving legal significance to transmitted electronic messages and the use of electronic digital signatures of electronic messages in accordance with the national laws of the Parties.</w:t>
      </w:r>
    </w:p>
    <w:bookmarkEnd w:id="31"/>
    <w:p>
      <w:pPr>
        <w:spacing w:after="0"/>
        <w:ind w:left="0"/>
        <w:jc w:val="both"/>
      </w:pPr>
      <w:r>
        <w:rPr>
          <w:rFonts w:ascii="Times New Roman"/>
          <w:b/>
          <w:i w:val="false"/>
          <w:color w:val="000000"/>
          <w:sz w:val="28"/>
        </w:rPr>
        <w:t>Article 6</w:t>
      </w:r>
    </w:p>
    <w:bookmarkStart w:name="z41" w:id="32"/>
    <w:p>
      <w:pPr>
        <w:spacing w:after="0"/>
        <w:ind w:left="0"/>
        <w:jc w:val="both"/>
      </w:pPr>
      <w:r>
        <w:rPr>
          <w:rFonts w:ascii="Times New Roman"/>
          <w:b w:val="false"/>
          <w:i w:val="false"/>
          <w:color w:val="000000"/>
          <w:sz w:val="28"/>
        </w:rPr>
        <w:t>
      The customs services of the Parties shall independently provide equipment, configuration, operation, management and monitoring of information protection tools used in the information interaction.</w:t>
      </w:r>
    </w:p>
    <w:bookmarkEnd w:id="32"/>
    <w:p>
      <w:pPr>
        <w:spacing w:after="0"/>
        <w:ind w:left="0"/>
        <w:jc w:val="both"/>
      </w:pPr>
      <w:r>
        <w:rPr>
          <w:rFonts w:ascii="Times New Roman"/>
          <w:b/>
          <w:i w:val="false"/>
          <w:color w:val="000000"/>
          <w:sz w:val="28"/>
        </w:rPr>
        <w:t>Article 7</w:t>
      </w:r>
    </w:p>
    <w:bookmarkStart w:name="z43" w:id="33"/>
    <w:p>
      <w:pPr>
        <w:spacing w:after="0"/>
        <w:ind w:left="0"/>
        <w:jc w:val="both"/>
      </w:pPr>
      <w:r>
        <w:rPr>
          <w:rFonts w:ascii="Times New Roman"/>
          <w:b w:val="false"/>
          <w:i w:val="false"/>
          <w:color w:val="000000"/>
          <w:sz w:val="28"/>
        </w:rPr>
        <w:t>
      The provisions of this Agreement do not limit the customs services of the Parties in the application of other, additional forms and methods of information protection in the informational interaction of automated systems when controlling common customs processes in the Eurasian Economic Community member states in their own automated information systems.</w:t>
      </w:r>
    </w:p>
    <w:bookmarkEnd w:id="33"/>
    <w:p>
      <w:pPr>
        <w:spacing w:after="0"/>
        <w:ind w:left="0"/>
        <w:jc w:val="both"/>
      </w:pPr>
      <w:r>
        <w:rPr>
          <w:rFonts w:ascii="Times New Roman"/>
          <w:b/>
          <w:i w:val="false"/>
          <w:color w:val="000000"/>
          <w:sz w:val="28"/>
        </w:rPr>
        <w:t>Article 8</w:t>
      </w:r>
    </w:p>
    <w:bookmarkStart w:name="z45" w:id="34"/>
    <w:p>
      <w:pPr>
        <w:spacing w:after="0"/>
        <w:ind w:left="0"/>
        <w:jc w:val="both"/>
      </w:pPr>
      <w:r>
        <w:rPr>
          <w:rFonts w:ascii="Times New Roman"/>
          <w:b w:val="false"/>
          <w:i w:val="false"/>
          <w:color w:val="000000"/>
          <w:sz w:val="28"/>
        </w:rPr>
        <w:t>
      This Agreement is concluded for an indefinite term and takes effect from the date of receipt by the depositary, which is the Integration Committee of the Eurasian Economic Community, of the last written notice on the completion by the Parties of the domestic procedures necessary for its enactment.</w:t>
      </w:r>
    </w:p>
    <w:bookmarkEnd w:id="34"/>
    <w:bookmarkStart w:name="z46" w:id="35"/>
    <w:p>
      <w:pPr>
        <w:spacing w:after="0"/>
        <w:ind w:left="0"/>
        <w:jc w:val="both"/>
      </w:pPr>
      <w:r>
        <w:rPr>
          <w:rFonts w:ascii="Times New Roman"/>
          <w:b w:val="false"/>
          <w:i w:val="false"/>
          <w:color w:val="000000"/>
          <w:sz w:val="28"/>
        </w:rPr>
        <w:t>
      Upon its commencement, this Agreement is open for accession by other states that have joined the Eurasian Economic Community. Documents of accession to this Agreement shall be deposited with the depositary.</w:t>
      </w:r>
    </w:p>
    <w:bookmarkEnd w:id="35"/>
    <w:bookmarkStart w:name="z47" w:id="36"/>
    <w:p>
      <w:pPr>
        <w:spacing w:after="0"/>
        <w:ind w:left="0"/>
        <w:jc w:val="both"/>
      </w:pPr>
      <w:r>
        <w:rPr>
          <w:rFonts w:ascii="Times New Roman"/>
          <w:b w:val="false"/>
          <w:i w:val="false"/>
          <w:color w:val="000000"/>
          <w:sz w:val="28"/>
        </w:rPr>
        <w:t>
      For acceding states, this Agreement shall enter into force on the date of receipt by the depositary of the instrument of accession.</w:t>
      </w:r>
    </w:p>
    <w:bookmarkEnd w:id="36"/>
    <w:p>
      <w:pPr>
        <w:spacing w:after="0"/>
        <w:ind w:left="0"/>
        <w:jc w:val="both"/>
      </w:pPr>
      <w:r>
        <w:rPr>
          <w:rFonts w:ascii="Times New Roman"/>
          <w:b/>
          <w:i w:val="false"/>
          <w:color w:val="000000"/>
          <w:sz w:val="28"/>
        </w:rPr>
        <w:t>Article 9</w:t>
      </w:r>
    </w:p>
    <w:bookmarkStart w:name="z49" w:id="37"/>
    <w:p>
      <w:pPr>
        <w:spacing w:after="0"/>
        <w:ind w:left="0"/>
        <w:jc w:val="both"/>
      </w:pPr>
      <w:r>
        <w:rPr>
          <w:rFonts w:ascii="Times New Roman"/>
          <w:b w:val="false"/>
          <w:i w:val="false"/>
          <w:color w:val="000000"/>
          <w:sz w:val="28"/>
        </w:rPr>
        <w:t>
      By mutual consent of the Parties, amendments and supplements may be entered to this Agreement that shall be its integral parts drawn up by separate protocols.</w:t>
      </w:r>
    </w:p>
    <w:bookmarkEnd w:id="37"/>
    <w:p>
      <w:pPr>
        <w:spacing w:after="0"/>
        <w:ind w:left="0"/>
        <w:jc w:val="both"/>
      </w:pPr>
      <w:r>
        <w:rPr>
          <w:rFonts w:ascii="Times New Roman"/>
          <w:b/>
          <w:i w:val="false"/>
          <w:color w:val="000000"/>
          <w:sz w:val="28"/>
        </w:rPr>
        <w:t>Article 10</w:t>
      </w:r>
    </w:p>
    <w:bookmarkStart w:name="z51" w:id="38"/>
    <w:p>
      <w:pPr>
        <w:spacing w:after="0"/>
        <w:ind w:left="0"/>
        <w:jc w:val="both"/>
      </w:pPr>
      <w:r>
        <w:rPr>
          <w:rFonts w:ascii="Times New Roman"/>
          <w:b w:val="false"/>
          <w:i w:val="false"/>
          <w:color w:val="000000"/>
          <w:sz w:val="28"/>
        </w:rPr>
        <w:t xml:space="preserve">
      Disputes between the Parties regarding interpretation and (or) application of the provisions of this Agreement shall be resolved through negotiations and consultations. </w:t>
      </w:r>
    </w:p>
    <w:bookmarkEnd w:id="38"/>
    <w:bookmarkStart w:name="z52" w:id="39"/>
    <w:p>
      <w:pPr>
        <w:spacing w:after="0"/>
        <w:ind w:left="0"/>
        <w:jc w:val="both"/>
      </w:pPr>
      <w:r>
        <w:rPr>
          <w:rFonts w:ascii="Times New Roman"/>
          <w:b w:val="false"/>
          <w:i w:val="false"/>
          <w:color w:val="000000"/>
          <w:sz w:val="28"/>
        </w:rPr>
        <w:t>
      If the dispute is not resolved by the Parties to the dispute through negotiations and consultations within six months from the date of the official written request for their conduct made by one of the Parties to the dispute to the other Party to the dispute, then, unless otherwise agreed between the parties to the dispute regarding the method of its resolution, either Party may refer the dispute to the Court of the Eurasian Economic Community.</w:t>
      </w:r>
    </w:p>
    <w:bookmarkEnd w:id="39"/>
    <w:p>
      <w:pPr>
        <w:spacing w:after="0"/>
        <w:ind w:left="0"/>
        <w:jc w:val="both"/>
      </w:pPr>
      <w:r>
        <w:rPr>
          <w:rFonts w:ascii="Times New Roman"/>
          <w:b/>
          <w:i w:val="false"/>
          <w:color w:val="000000"/>
          <w:sz w:val="28"/>
        </w:rPr>
        <w:t>Article 11</w:t>
      </w:r>
    </w:p>
    <w:bookmarkStart w:name="z54" w:id="40"/>
    <w:p>
      <w:pPr>
        <w:spacing w:after="0"/>
        <w:ind w:left="0"/>
        <w:jc w:val="both"/>
      </w:pPr>
      <w:r>
        <w:rPr>
          <w:rFonts w:ascii="Times New Roman"/>
          <w:b w:val="false"/>
          <w:i w:val="false"/>
          <w:color w:val="000000"/>
          <w:sz w:val="28"/>
        </w:rPr>
        <w:t>
      Each of the Parties may terminate this Agreement by sending a written notice of such intention to the other Party at least six months before the expected termination date, having previously settled its obligations assumed in accordance with this Agreement.</w:t>
      </w:r>
    </w:p>
    <w:bookmarkEnd w:id="40"/>
    <w:bookmarkStart w:name="z55" w:id="41"/>
    <w:p>
      <w:pPr>
        <w:spacing w:after="0"/>
        <w:ind w:left="0"/>
        <w:jc w:val="both"/>
      </w:pPr>
      <w:r>
        <w:rPr>
          <w:rFonts w:ascii="Times New Roman"/>
          <w:b w:val="false"/>
          <w:i w:val="false"/>
          <w:color w:val="000000"/>
          <w:sz w:val="28"/>
        </w:rPr>
        <w:t>
      Obligations to protect information assumed in accordance with this Agreement remain valid regardless of its termination or withdrawal of any Party from it.</w:t>
      </w:r>
    </w:p>
    <w:bookmarkEnd w:id="41"/>
    <w:bookmarkStart w:name="z56" w:id="42"/>
    <w:p>
      <w:pPr>
        <w:spacing w:after="0"/>
        <w:ind w:left="0"/>
        <w:jc w:val="both"/>
      </w:pPr>
      <w:r>
        <w:rPr>
          <w:rFonts w:ascii="Times New Roman"/>
          <w:b w:val="false"/>
          <w:i w:val="false"/>
          <w:color w:val="000000"/>
          <w:sz w:val="28"/>
        </w:rPr>
        <w:t>
      Executed in the city of "__" _______ 2011 in one original copy in the Russian language.</w:t>
      </w:r>
    </w:p>
    <w:bookmarkEnd w:id="42"/>
    <w:bookmarkStart w:name="z57" w:id="43"/>
    <w:p>
      <w:pPr>
        <w:spacing w:after="0"/>
        <w:ind w:left="0"/>
        <w:jc w:val="both"/>
      </w:pPr>
      <w:r>
        <w:rPr>
          <w:rFonts w:ascii="Times New Roman"/>
          <w:b w:val="false"/>
          <w:i w:val="false"/>
          <w:color w:val="000000"/>
          <w:sz w:val="28"/>
        </w:rPr>
        <w:t>
      The original copy is stored in the Integration Committee of the Eurasian Economic Community, which, being the depositary, shall direct a certified copy to the Parties.</w:t>
      </w:r>
    </w:p>
    <w:bookmarkEnd w:id="43"/>
    <w:tbl>
      <w:tblPr>
        <w:tblW w:w="0" w:type="auto"/>
        <w:tblCellSpacing w:w="0" w:type="auto"/>
        <w:tblBorders>
          <w:top w:val="none"/>
          <w:left w:val="none"/>
          <w:bottom w:val="none"/>
          <w:right w:val="none"/>
          <w:insideH w:val="none"/>
          <w:insideV w:val="none"/>
        </w:tblBorders>
      </w:tblPr>
      <w:tblGrid>
        <w:gridCol w:w="6908"/>
        <w:gridCol w:w="5392"/>
      </w:tblGrid>
      <w:tr>
        <w:trPr>
          <w:trHeight w:val="30" w:hRule="atLeast"/>
        </w:trPr>
        <w:tc>
          <w:tcPr>
            <w:tcW w:w="6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xml:space="preserve">
of the Republic of Kazakhstan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the Kyrgyz Republic</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95"/>
        <w:gridCol w:w="6405"/>
      </w:tblGrid>
      <w:tr>
        <w:trPr>
          <w:trHeight w:val="30" w:hRule="atLeast"/>
        </w:trPr>
        <w:tc>
          <w:tcPr>
            <w:tcW w:w="5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the Republic of Belarus</w:t>
            </w:r>
          </w:p>
        </w:tc>
        <w:tc>
          <w:tcPr>
            <w:tcW w:w="6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the Republic of Tajikistan</w:t>
            </w:r>
          </w:p>
        </w:tc>
      </w:tr>
      <w:tr>
        <w:trPr>
          <w:trHeight w:val="30" w:hRule="atLeast"/>
        </w:trPr>
        <w:tc>
          <w:tcPr>
            <w:tcW w:w="5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p>
            <w:pPr>
              <w:spacing w:after="20"/>
              <w:ind w:left="20"/>
              <w:jc w:val="both"/>
            </w:pPr>
            <w:r>
              <w:rPr>
                <w:rFonts w:ascii="Times New Roman"/>
                <w:b w:val="false"/>
                <w:i w:val="false"/>
                <w:color w:val="000000"/>
                <w:sz w:val="20"/>
              </w:rPr>
              <w:t>
of the Russian Federation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