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cca4" w14:textId="18fc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accession to the Intergovernmental Agreement on Dry Ports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23, 2015 No. 1043.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 w:id="0"/>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RESOLVES</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To accede the Intergovernmental Agreement on Dry Ports.</w:t>
      </w:r>
    </w:p>
    <w:bookmarkEnd w:id="1"/>
    <w:bookmarkStart w:name="z4" w:id="2"/>
    <w:p>
      <w:pPr>
        <w:spacing w:after="0"/>
        <w:ind w:left="0"/>
        <w:jc w:val="both"/>
      </w:pPr>
      <w:r>
        <w:rPr>
          <w:rFonts w:ascii="Times New Roman"/>
          <w:b w:val="false"/>
          <w:i w:val="false"/>
          <w:color w:val="000000"/>
          <w:sz w:val="28"/>
        </w:rPr>
        <w:t>
      2. The Ministry of Foreign Affairs of the Republic of Kazakhstan to notify The Secretary-General of the United Nations of the accession of the Government of the Republic of Kazakhstan to the Intergovernmental Agreement on Dry Ports.</w:t>
      </w:r>
    </w:p>
    <w:bookmarkEnd w:id="2"/>
    <w:bookmarkStart w:name="z5" w:id="3"/>
    <w:p>
      <w:pPr>
        <w:spacing w:after="0"/>
        <w:ind w:left="0"/>
        <w:jc w:val="both"/>
      </w:pPr>
      <w:r>
        <w:rPr>
          <w:rFonts w:ascii="Times New Roman"/>
          <w:b w:val="false"/>
          <w:i w:val="false"/>
          <w:color w:val="000000"/>
          <w:sz w:val="28"/>
        </w:rPr>
        <w:t>
      3. This resolution shall enter into force from the day of its signing.</w:t>
      </w:r>
    </w:p>
    <w:bookmarkEnd w:id="3"/>
    <w:tbl>
      <w:tblPr>
        <w:tblW w:w="0" w:type="auto"/>
        <w:tblCellSpacing w:w="0" w:type="auto"/>
        <w:tblBorders>
          <w:top w:val="none"/>
          <w:left w:val="none"/>
          <w:bottom w:val="none"/>
          <w:right w:val="none"/>
          <w:insideH w:val="none"/>
          <w:insideV w:val="none"/>
        </w:tblBorders>
      </w:tblPr>
      <w:tblGrid>
        <w:gridCol w:w="7788"/>
        <w:gridCol w:w="4212"/>
      </w:tblGrid>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Мassimov</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44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44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80300" cy="1023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80300" cy="1023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INTERGOVERNMENTAL AGREEMENT</w:t>
      </w:r>
      <w:r>
        <w:br/>
      </w:r>
      <w:r>
        <w:rPr>
          <w:rFonts w:ascii="Times New Roman"/>
          <w:b/>
          <w:i w:val="false"/>
          <w:color w:val="000000"/>
        </w:rPr>
        <w:t xml:space="preserve">ON DRY PORTS </w:t>
      </w:r>
    </w:p>
    <w:bookmarkEnd w:id="4"/>
    <w:p>
      <w:pPr>
        <w:spacing w:after="0"/>
        <w:ind w:left="0"/>
        <w:jc w:val="both"/>
      </w:pPr>
      <w:r>
        <w:drawing>
          <wp:inline distT="0" distB="0" distL="0" distR="0">
            <wp:extent cx="19685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68500" cy="18796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The United Nations 2013</w:t>
      </w:r>
    </w:p>
    <w:bookmarkStart w:name="z10" w:id="5"/>
    <w:p>
      <w:pPr>
        <w:spacing w:after="0"/>
        <w:ind w:left="0"/>
        <w:jc w:val="left"/>
      </w:pPr>
      <w:r>
        <w:rPr>
          <w:rFonts w:ascii="Times New Roman"/>
          <w:b/>
          <w:i w:val="false"/>
          <w:color w:val="000000"/>
        </w:rPr>
        <w:t xml:space="preserve"> Intergovernmental Agreement on Dry Ports</w:t>
      </w:r>
    </w:p>
    <w:bookmarkEnd w:id="5"/>
    <w:bookmarkStart w:name="z11" w:id="6"/>
    <w:p>
      <w:pPr>
        <w:spacing w:after="0"/>
        <w:ind w:left="0"/>
        <w:jc w:val="both"/>
      </w:pPr>
      <w:r>
        <w:rPr>
          <w:rFonts w:ascii="Times New Roman"/>
          <w:b w:val="false"/>
          <w:i w:val="false"/>
          <w:color w:val="000000"/>
          <w:sz w:val="28"/>
        </w:rPr>
        <w:t xml:space="preserve">
      The Parties to this Agreement, </w:t>
      </w:r>
    </w:p>
    <w:bookmarkEnd w:id="6"/>
    <w:bookmarkStart w:name="z12" w:id="7"/>
    <w:p>
      <w:pPr>
        <w:spacing w:after="0"/>
        <w:ind w:left="0"/>
        <w:jc w:val="both"/>
      </w:pPr>
      <w:r>
        <w:rPr>
          <w:rFonts w:ascii="Times New Roman"/>
          <w:b w:val="false"/>
          <w:i w:val="false"/>
          <w:color w:val="000000"/>
          <w:sz w:val="28"/>
        </w:rPr>
        <w:t xml:space="preserve">
      Recalling United Nations Economic and Social Commission for Asia and Pacific resolution 66/4 dated May 19, 2010 on the implementation of the Bangkok Declaration on Transport Development in Asia and the request contained therein to work towards the development of an intergovernmental agreement on Dry Ports, </w:t>
      </w:r>
    </w:p>
    <w:bookmarkEnd w:id="7"/>
    <w:bookmarkStart w:name="z13" w:id="8"/>
    <w:p>
      <w:pPr>
        <w:spacing w:after="0"/>
        <w:ind w:left="0"/>
        <w:jc w:val="both"/>
      </w:pPr>
      <w:r>
        <w:rPr>
          <w:rFonts w:ascii="Times New Roman"/>
          <w:b w:val="false"/>
          <w:i w:val="false"/>
          <w:color w:val="000000"/>
          <w:sz w:val="28"/>
        </w:rPr>
        <w:t>
      Conscious of the need to promote and develop an international integrated intermodal transport and logistics system in Asia and with neighbouring regions,</w:t>
      </w:r>
    </w:p>
    <w:bookmarkEnd w:id="8"/>
    <w:bookmarkStart w:name="z14" w:id="9"/>
    <w:p>
      <w:pPr>
        <w:spacing w:after="0"/>
        <w:ind w:left="0"/>
        <w:jc w:val="both"/>
      </w:pPr>
      <w:r>
        <w:rPr>
          <w:rFonts w:ascii="Times New Roman"/>
          <w:b w:val="false"/>
          <w:i w:val="false"/>
          <w:color w:val="000000"/>
          <w:sz w:val="28"/>
        </w:rPr>
        <w:t>
      Mindful of the expected increase in international goods transport as a consequence of growing international trade in the ongoing process of globalization,</w:t>
      </w:r>
    </w:p>
    <w:bookmarkEnd w:id="9"/>
    <w:bookmarkStart w:name="z15" w:id="10"/>
    <w:p>
      <w:pPr>
        <w:spacing w:after="0"/>
        <w:ind w:left="0"/>
        <w:jc w:val="both"/>
      </w:pPr>
      <w:r>
        <w:rPr>
          <w:rFonts w:ascii="Times New Roman"/>
          <w:b w:val="false"/>
          <w:i w:val="false"/>
          <w:color w:val="000000"/>
          <w:sz w:val="28"/>
        </w:rPr>
        <w:t>
      Determined to strengthen connectivity and seamless international movement of goods, facilitate increased efficiency and reduce the cost of transport and logistics as well as to extend its reach to inland areas and wider hinterlands,</w:t>
      </w:r>
    </w:p>
    <w:bookmarkEnd w:id="10"/>
    <w:bookmarkStart w:name="z16" w:id="11"/>
    <w:p>
      <w:pPr>
        <w:spacing w:after="0"/>
        <w:ind w:left="0"/>
        <w:jc w:val="both"/>
      </w:pPr>
      <w:r>
        <w:rPr>
          <w:rFonts w:ascii="Times New Roman"/>
          <w:b w:val="false"/>
          <w:i w:val="false"/>
          <w:color w:val="000000"/>
          <w:sz w:val="28"/>
        </w:rPr>
        <w:t xml:space="preserve">
      Encouraged by the successful regional cooperation that led to the entry into force of the Intergovernmental Agreement on the Asian Highway Network and the Intergovernmental Agreement on the Trans-Asian Railway Network, </w:t>
      </w:r>
    </w:p>
    <w:bookmarkEnd w:id="11"/>
    <w:bookmarkStart w:name="z17" w:id="12"/>
    <w:p>
      <w:pPr>
        <w:spacing w:after="0"/>
        <w:ind w:left="0"/>
        <w:jc w:val="both"/>
      </w:pPr>
      <w:r>
        <w:rPr>
          <w:rFonts w:ascii="Times New Roman"/>
          <w:b w:val="false"/>
          <w:i w:val="false"/>
          <w:color w:val="000000"/>
          <w:sz w:val="28"/>
        </w:rPr>
        <w:t xml:space="preserve">
      Considering that, in order to strengthen relations and promote international trade among members of the Economic and Social Commission for Asia and the Pacific, it is essential to develop dry ports of international importance to the requirement of international transport and to reduce the adverse impact of transport on the environment, </w:t>
      </w:r>
    </w:p>
    <w:bookmarkEnd w:id="12"/>
    <w:bookmarkStart w:name="z18" w:id="13"/>
    <w:p>
      <w:pPr>
        <w:spacing w:after="0"/>
        <w:ind w:left="0"/>
        <w:jc w:val="both"/>
      </w:pPr>
      <w:r>
        <w:rPr>
          <w:rFonts w:ascii="Times New Roman"/>
          <w:b w:val="false"/>
          <w:i w:val="false"/>
          <w:color w:val="000000"/>
          <w:sz w:val="28"/>
        </w:rPr>
        <w:t xml:space="preserve">
      Recognizing the need to develop guiding principles for the development and operation of dry ports of international importance for harmonization and facilitation of intermodal transport in Asia and the Pacific, </w:t>
      </w:r>
    </w:p>
    <w:bookmarkEnd w:id="13"/>
    <w:bookmarkStart w:name="z19" w:id="14"/>
    <w:p>
      <w:pPr>
        <w:spacing w:after="0"/>
        <w:ind w:left="0"/>
        <w:jc w:val="both"/>
      </w:pPr>
      <w:r>
        <w:rPr>
          <w:rFonts w:ascii="Times New Roman"/>
          <w:b w:val="false"/>
          <w:i w:val="false"/>
          <w:color w:val="000000"/>
          <w:sz w:val="28"/>
        </w:rPr>
        <w:t xml:space="preserve">
      Keeping in view the role of dry ports of international importance as an important component of an effective and efficient international integrated intermodal transport and logistics system, especially in addressing the specific needs of landlocked, transit and coastal States, </w:t>
      </w:r>
    </w:p>
    <w:bookmarkEnd w:id="14"/>
    <w:bookmarkStart w:name="z20" w:id="15"/>
    <w:p>
      <w:pPr>
        <w:spacing w:after="0"/>
        <w:ind w:left="0"/>
        <w:jc w:val="both"/>
      </w:pPr>
      <w:r>
        <w:rPr>
          <w:rFonts w:ascii="Times New Roman"/>
          <w:b w:val="false"/>
          <w:i w:val="false"/>
          <w:color w:val="000000"/>
          <w:sz w:val="28"/>
        </w:rPr>
        <w:t>
      Have agreed as follows:</w:t>
      </w:r>
    </w:p>
    <w:bookmarkEnd w:id="15"/>
    <w:bookmarkStart w:name="z21" w:id="16"/>
    <w:p>
      <w:pPr>
        <w:spacing w:after="0"/>
        <w:ind w:left="0"/>
        <w:jc w:val="left"/>
      </w:pPr>
      <w:r>
        <w:rPr>
          <w:rFonts w:ascii="Times New Roman"/>
          <w:b/>
          <w:i w:val="false"/>
          <w:color w:val="000000"/>
        </w:rPr>
        <w:t xml:space="preserve"> Article 1 Definition</w:t>
      </w:r>
    </w:p>
    <w:bookmarkEnd w:id="16"/>
    <w:bookmarkStart w:name="z22" w:id="17"/>
    <w:p>
      <w:pPr>
        <w:spacing w:after="0"/>
        <w:ind w:left="0"/>
        <w:jc w:val="both"/>
      </w:pPr>
      <w:r>
        <w:rPr>
          <w:rFonts w:ascii="Times New Roman"/>
          <w:b w:val="false"/>
          <w:i w:val="false"/>
          <w:color w:val="000000"/>
          <w:sz w:val="28"/>
        </w:rPr>
        <w:t>
      For the purposes of the Intergovernmental Agreement on Dry Ports (the “Agreement”), a dry port of international importance (“dry port”) shall refer to an inland location as a logistics centre connected to one or more modes of transport for the handling, storage and regulatory inspection of goods moving in international trade and the execution of applicable customs control and formalities.</w:t>
      </w:r>
    </w:p>
    <w:bookmarkEnd w:id="17"/>
    <w:bookmarkStart w:name="z23" w:id="18"/>
    <w:p>
      <w:pPr>
        <w:spacing w:after="0"/>
        <w:ind w:left="0"/>
        <w:jc w:val="left"/>
      </w:pPr>
      <w:r>
        <w:rPr>
          <w:rFonts w:ascii="Times New Roman"/>
          <w:b/>
          <w:i w:val="false"/>
          <w:color w:val="000000"/>
        </w:rPr>
        <w:t xml:space="preserve"> Article 2 Identification of dry ports</w:t>
      </w:r>
    </w:p>
    <w:bookmarkEnd w:id="18"/>
    <w:bookmarkStart w:name="z24" w:id="19"/>
    <w:p>
      <w:pPr>
        <w:spacing w:after="0"/>
        <w:ind w:left="0"/>
        <w:jc w:val="both"/>
      </w:pPr>
      <w:r>
        <w:rPr>
          <w:rFonts w:ascii="Times New Roman"/>
          <w:b w:val="false"/>
          <w:i w:val="false"/>
          <w:color w:val="000000"/>
          <w:sz w:val="28"/>
        </w:rPr>
        <w:t>
      The Parties hereby adopt the list of dry ports, contained in Annex I to the Agreement, as the basis for the coordinated development of important nodes in an international integrated intermodal transport and logistics system. The Parties intend to develop these dry ports within the framework of their national programmes and in accordance with national laws and regulations.</w:t>
      </w:r>
    </w:p>
    <w:bookmarkEnd w:id="19"/>
    <w:bookmarkStart w:name="z25" w:id="20"/>
    <w:p>
      <w:pPr>
        <w:spacing w:after="0"/>
        <w:ind w:left="0"/>
        <w:jc w:val="left"/>
      </w:pPr>
      <w:r>
        <w:rPr>
          <w:rFonts w:ascii="Times New Roman"/>
          <w:b/>
          <w:i w:val="false"/>
          <w:color w:val="000000"/>
        </w:rPr>
        <w:t xml:space="preserve"> Article 3 Development of the dry ports</w:t>
      </w:r>
    </w:p>
    <w:bookmarkEnd w:id="20"/>
    <w:bookmarkStart w:name="z26" w:id="21"/>
    <w:p>
      <w:pPr>
        <w:spacing w:after="0"/>
        <w:ind w:left="0"/>
        <w:jc w:val="both"/>
      </w:pPr>
      <w:r>
        <w:rPr>
          <w:rFonts w:ascii="Times New Roman"/>
          <w:b w:val="false"/>
          <w:i w:val="false"/>
          <w:color w:val="000000"/>
          <w:sz w:val="28"/>
        </w:rPr>
        <w:t>
      The dry ports listed in Annex I to the Agreement should be brought into conformity with the guiding principles for the development and operation of dry ports as described in Annex II to the Agreement.</w:t>
      </w:r>
    </w:p>
    <w:bookmarkEnd w:id="21"/>
    <w:bookmarkStart w:name="z27" w:id="22"/>
    <w:p>
      <w:pPr>
        <w:spacing w:after="0"/>
        <w:ind w:left="0"/>
        <w:jc w:val="left"/>
      </w:pPr>
      <w:r>
        <w:rPr>
          <w:rFonts w:ascii="Times New Roman"/>
          <w:b/>
          <w:i w:val="false"/>
          <w:color w:val="000000"/>
        </w:rPr>
        <w:t xml:space="preserve"> Article 4 Signature, ratification, acceptance, approval and accession to the Agreement</w:t>
      </w:r>
    </w:p>
    <w:bookmarkEnd w:id="22"/>
    <w:bookmarkStart w:name="z28" w:id="23"/>
    <w:p>
      <w:pPr>
        <w:spacing w:after="0"/>
        <w:ind w:left="0"/>
        <w:jc w:val="both"/>
      </w:pPr>
      <w:r>
        <w:rPr>
          <w:rFonts w:ascii="Times New Roman"/>
          <w:b w:val="false"/>
          <w:i w:val="false"/>
          <w:color w:val="000000"/>
          <w:sz w:val="28"/>
        </w:rPr>
        <w:t>
      1. The Agreement shall be open for signature to States that are members of the United Nations Economic and Social Commission for Asia and the Pacific at Bangkok, Thailand, on 7 and 8 November 2013, and thereafter at United Nations Headquarters in New York from 11 November 2013 to 31 December 2014.</w:t>
      </w:r>
    </w:p>
    <w:bookmarkEnd w:id="23"/>
    <w:bookmarkStart w:name="z29" w:id="24"/>
    <w:p>
      <w:pPr>
        <w:spacing w:after="0"/>
        <w:ind w:left="0"/>
        <w:jc w:val="both"/>
      </w:pPr>
      <w:r>
        <w:rPr>
          <w:rFonts w:ascii="Times New Roman"/>
          <w:b w:val="false"/>
          <w:i w:val="false"/>
          <w:color w:val="000000"/>
          <w:sz w:val="28"/>
        </w:rPr>
        <w:t>
      2. The Agreement shall be subject to ratification, acceptance or approval by signatory States.</w:t>
      </w:r>
    </w:p>
    <w:bookmarkEnd w:id="24"/>
    <w:bookmarkStart w:name="z30" w:id="25"/>
    <w:p>
      <w:pPr>
        <w:spacing w:after="0"/>
        <w:ind w:left="0"/>
        <w:jc w:val="both"/>
      </w:pPr>
      <w:r>
        <w:rPr>
          <w:rFonts w:ascii="Times New Roman"/>
          <w:b w:val="false"/>
          <w:i w:val="false"/>
          <w:color w:val="000000"/>
          <w:sz w:val="28"/>
        </w:rPr>
        <w:t>
      3. The Agreement shall be open to accession by non-signatory States which are members of the United Nations Economic and Social Commission for Asia and the Pacific.</w:t>
      </w:r>
    </w:p>
    <w:bookmarkEnd w:id="25"/>
    <w:bookmarkStart w:name="z31" w:id="26"/>
    <w:p>
      <w:pPr>
        <w:spacing w:after="0"/>
        <w:ind w:left="0"/>
        <w:jc w:val="both"/>
      </w:pPr>
      <w:r>
        <w:rPr>
          <w:rFonts w:ascii="Times New Roman"/>
          <w:b w:val="false"/>
          <w:i w:val="false"/>
          <w:color w:val="000000"/>
          <w:sz w:val="28"/>
        </w:rPr>
        <w:t>
      4. Instruments of ratification, acceptance, approval of or accession to the Agreement shall be deposited in good and due form with the Secretary-General of the United Nations.</w:t>
      </w:r>
    </w:p>
    <w:bookmarkEnd w:id="26"/>
    <w:bookmarkStart w:name="z32" w:id="27"/>
    <w:p>
      <w:pPr>
        <w:spacing w:after="0"/>
        <w:ind w:left="0"/>
        <w:jc w:val="left"/>
      </w:pPr>
      <w:r>
        <w:rPr>
          <w:rFonts w:ascii="Times New Roman"/>
          <w:b/>
          <w:i w:val="false"/>
          <w:color w:val="000000"/>
        </w:rPr>
        <w:t xml:space="preserve"> Article 5 Entry into force</w:t>
      </w:r>
    </w:p>
    <w:bookmarkEnd w:id="27"/>
    <w:bookmarkStart w:name="z33" w:id="28"/>
    <w:p>
      <w:pPr>
        <w:spacing w:after="0"/>
        <w:ind w:left="0"/>
        <w:jc w:val="both"/>
      </w:pPr>
      <w:r>
        <w:rPr>
          <w:rFonts w:ascii="Times New Roman"/>
          <w:b w:val="false"/>
          <w:i w:val="false"/>
          <w:color w:val="000000"/>
          <w:sz w:val="28"/>
        </w:rPr>
        <w:t xml:space="preserve">
      1. The Agreement shall enter into force on the thirtieth day following the date on which the eighth instrument of ratification, acceptance, approval of or accession to the Agreement is deposited pursuant to Article 4, paragraph 4 of the Agreement. </w:t>
      </w:r>
    </w:p>
    <w:bookmarkEnd w:id="28"/>
    <w:bookmarkStart w:name="z34" w:id="29"/>
    <w:p>
      <w:pPr>
        <w:spacing w:after="0"/>
        <w:ind w:left="0"/>
        <w:jc w:val="both"/>
      </w:pPr>
      <w:r>
        <w:rPr>
          <w:rFonts w:ascii="Times New Roman"/>
          <w:b w:val="false"/>
          <w:i w:val="false"/>
          <w:color w:val="000000"/>
          <w:sz w:val="28"/>
        </w:rPr>
        <w:t>
      2. For each State which deposits its instrument of ratification, acceptance, approval of or accession to the Agreement after the date on which the eighth instrument of ratification, acceptance, approval of or accession to the Agreement is deposited, the Agreement shall enter into force for that State thirty (30) days after the date of its deposit of the said instrument.</w:t>
      </w:r>
    </w:p>
    <w:bookmarkEnd w:id="29"/>
    <w:bookmarkStart w:name="z35" w:id="30"/>
    <w:p>
      <w:pPr>
        <w:spacing w:after="0"/>
        <w:ind w:left="0"/>
        <w:jc w:val="left"/>
      </w:pPr>
      <w:r>
        <w:rPr>
          <w:rFonts w:ascii="Times New Roman"/>
          <w:b/>
          <w:i w:val="false"/>
          <w:color w:val="000000"/>
        </w:rPr>
        <w:t xml:space="preserve"> Article 6 Working Group on Dry Ports</w:t>
      </w:r>
    </w:p>
    <w:bookmarkEnd w:id="30"/>
    <w:bookmarkStart w:name="z36" w:id="31"/>
    <w:p>
      <w:pPr>
        <w:spacing w:after="0"/>
        <w:ind w:left="0"/>
        <w:jc w:val="both"/>
      </w:pPr>
      <w:r>
        <w:rPr>
          <w:rFonts w:ascii="Times New Roman"/>
          <w:b w:val="false"/>
          <w:i w:val="false"/>
          <w:color w:val="000000"/>
          <w:sz w:val="28"/>
        </w:rPr>
        <w:t>
      1. A Working Group on Dry Ports (the “Working Group”) shall be established by the United Nations Economic and Social Commission for Asia and the Pacific to consider the implementation of the Agreement and to consider any amendments proposed. All States which are members of the United Nations Economic and Social Commission for Asia and the Pacific shall be members of the Working Group.</w:t>
      </w:r>
    </w:p>
    <w:bookmarkEnd w:id="31"/>
    <w:bookmarkStart w:name="z37" w:id="32"/>
    <w:p>
      <w:pPr>
        <w:spacing w:after="0"/>
        <w:ind w:left="0"/>
        <w:jc w:val="both"/>
      </w:pPr>
      <w:r>
        <w:rPr>
          <w:rFonts w:ascii="Times New Roman"/>
          <w:b w:val="false"/>
          <w:i w:val="false"/>
          <w:color w:val="000000"/>
          <w:sz w:val="28"/>
        </w:rPr>
        <w:t>
      2. The Working Group shall meet biennially. Any Party may also, by a notification addressed to the secretariat, request that a special meeting of the Working Group be convened. The secretariat shall notify all members of the Working Group of the request and shall convene a special meeting of the Working Group if not less than one third of the Parties signify their assent to the request within a period of four (4) months from the date of the notification by the secretariat.</w:t>
      </w:r>
    </w:p>
    <w:bookmarkEnd w:id="32"/>
    <w:bookmarkStart w:name="z38" w:id="33"/>
    <w:p>
      <w:pPr>
        <w:spacing w:after="0"/>
        <w:ind w:left="0"/>
        <w:jc w:val="left"/>
      </w:pPr>
      <w:r>
        <w:rPr>
          <w:rFonts w:ascii="Times New Roman"/>
          <w:b/>
          <w:i w:val="false"/>
          <w:color w:val="000000"/>
        </w:rPr>
        <w:t xml:space="preserve"> Article 7 Procedures for amending the main text</w:t>
      </w:r>
    </w:p>
    <w:bookmarkEnd w:id="33"/>
    <w:bookmarkStart w:name="z39" w:id="34"/>
    <w:p>
      <w:pPr>
        <w:spacing w:after="0"/>
        <w:ind w:left="0"/>
        <w:jc w:val="both"/>
      </w:pPr>
      <w:r>
        <w:rPr>
          <w:rFonts w:ascii="Times New Roman"/>
          <w:b w:val="false"/>
          <w:i w:val="false"/>
          <w:color w:val="000000"/>
          <w:sz w:val="28"/>
        </w:rPr>
        <w:t xml:space="preserve">
      1. The main text of the Agreement shall be amended by the procedure specified in this Article. </w:t>
      </w:r>
    </w:p>
    <w:bookmarkEnd w:id="34"/>
    <w:bookmarkStart w:name="z40" w:id="35"/>
    <w:p>
      <w:pPr>
        <w:spacing w:after="0"/>
        <w:ind w:left="0"/>
        <w:jc w:val="both"/>
      </w:pPr>
      <w:r>
        <w:rPr>
          <w:rFonts w:ascii="Times New Roman"/>
          <w:b w:val="false"/>
          <w:i w:val="false"/>
          <w:color w:val="000000"/>
          <w:sz w:val="28"/>
        </w:rPr>
        <w:t>
      2. Amendments to the Agreement may be proposed by any Party.</w:t>
      </w:r>
    </w:p>
    <w:bookmarkEnd w:id="35"/>
    <w:bookmarkStart w:name="z41" w:id="36"/>
    <w:p>
      <w:pPr>
        <w:spacing w:after="0"/>
        <w:ind w:left="0"/>
        <w:jc w:val="both"/>
      </w:pPr>
      <w:r>
        <w:rPr>
          <w:rFonts w:ascii="Times New Roman"/>
          <w:b w:val="false"/>
          <w:i w:val="false"/>
          <w:color w:val="000000"/>
          <w:sz w:val="28"/>
        </w:rPr>
        <w:t xml:space="preserve">
      3. The text of any proposed amendment shall be circulated to all members of the Working Group by the secretariat at least forty-five (45) days before the Working Group meeting at which it is proposed for adoption. </w:t>
      </w:r>
    </w:p>
    <w:bookmarkEnd w:id="36"/>
    <w:bookmarkStart w:name="z42" w:id="37"/>
    <w:p>
      <w:pPr>
        <w:spacing w:after="0"/>
        <w:ind w:left="0"/>
        <w:jc w:val="both"/>
      </w:pPr>
      <w:r>
        <w:rPr>
          <w:rFonts w:ascii="Times New Roman"/>
          <w:b w:val="false"/>
          <w:i w:val="false"/>
          <w:color w:val="000000"/>
          <w:sz w:val="28"/>
        </w:rPr>
        <w:t xml:space="preserve">
      4. An amendment shall be adopted by a two-thirds majority of the Parties to the Agreement present and voting at the meeting of the Working Group. The amendment as adopted shall be communicated by the secretariat to the Secretary-General of the United Nations, who shall circulate it to all Parties for acceptance. </w:t>
      </w:r>
    </w:p>
    <w:bookmarkEnd w:id="37"/>
    <w:bookmarkStart w:name="z43" w:id="38"/>
    <w:p>
      <w:pPr>
        <w:spacing w:after="0"/>
        <w:ind w:left="0"/>
        <w:jc w:val="both"/>
      </w:pPr>
      <w:r>
        <w:rPr>
          <w:rFonts w:ascii="Times New Roman"/>
          <w:b w:val="false"/>
          <w:i w:val="false"/>
          <w:color w:val="000000"/>
          <w:sz w:val="28"/>
        </w:rPr>
        <w:t>
      5. An amendment adopted in accordance with paragraph 4 of the present Article shall enter into force thirty (30) days after it has been accepted by two thirds of the number of States which are Parties to the Agreement at the time of adoption of the amendment. The amendment shall enter into force with respect to all Parties except those which have not accepted the amendment. Any Party which does not accept an amendment adopted in accordance with this paragraph may at any time thereafter deposit an instrument of acceptance of such amendment with the Secretary-General of the United Nations. The amendment shall enter into force for that State thirty (30) days after the date of deposit of the said instrument.</w:t>
      </w:r>
    </w:p>
    <w:bookmarkEnd w:id="38"/>
    <w:bookmarkStart w:name="z44" w:id="39"/>
    <w:p>
      <w:pPr>
        <w:spacing w:after="0"/>
        <w:ind w:left="0"/>
        <w:jc w:val="left"/>
      </w:pPr>
      <w:r>
        <w:rPr>
          <w:rFonts w:ascii="Times New Roman"/>
          <w:b/>
          <w:i w:val="false"/>
          <w:color w:val="000000"/>
        </w:rPr>
        <w:t xml:space="preserve"> Article 8 Procedures for amending Annex I</w:t>
      </w:r>
    </w:p>
    <w:bookmarkEnd w:id="39"/>
    <w:bookmarkStart w:name="z45" w:id="40"/>
    <w:p>
      <w:pPr>
        <w:spacing w:after="0"/>
        <w:ind w:left="0"/>
        <w:jc w:val="both"/>
      </w:pPr>
      <w:r>
        <w:rPr>
          <w:rFonts w:ascii="Times New Roman"/>
          <w:b w:val="false"/>
          <w:i w:val="false"/>
          <w:color w:val="000000"/>
          <w:sz w:val="28"/>
        </w:rPr>
        <w:t xml:space="preserve">
      1. Annex I to the Agreement shall be amended by the procedure specified in this Article. </w:t>
      </w:r>
    </w:p>
    <w:bookmarkEnd w:id="40"/>
    <w:bookmarkStart w:name="z46" w:id="41"/>
    <w:p>
      <w:pPr>
        <w:spacing w:after="0"/>
        <w:ind w:left="0"/>
        <w:jc w:val="both"/>
      </w:pPr>
      <w:r>
        <w:rPr>
          <w:rFonts w:ascii="Times New Roman"/>
          <w:b w:val="false"/>
          <w:i w:val="false"/>
          <w:color w:val="000000"/>
          <w:sz w:val="28"/>
        </w:rPr>
        <w:t xml:space="preserve">
      2. Amendments shall be proposed by any Party in whose territory the subject of the proposed amendment is located. </w:t>
      </w:r>
    </w:p>
    <w:bookmarkEnd w:id="41"/>
    <w:bookmarkStart w:name="z47" w:id="42"/>
    <w:p>
      <w:pPr>
        <w:spacing w:after="0"/>
        <w:ind w:left="0"/>
        <w:jc w:val="both"/>
      </w:pPr>
      <w:r>
        <w:rPr>
          <w:rFonts w:ascii="Times New Roman"/>
          <w:b w:val="false"/>
          <w:i w:val="false"/>
          <w:color w:val="000000"/>
          <w:sz w:val="28"/>
        </w:rPr>
        <w:t xml:space="preserve">
      3. The text of any proposed amendment shall be circulated to all members of the Working Group by the secretariat at least forty-five (45) days before the Working Group meeting at which it is proposed for adoption. </w:t>
      </w:r>
    </w:p>
    <w:bookmarkEnd w:id="42"/>
    <w:bookmarkStart w:name="z48" w:id="43"/>
    <w:p>
      <w:pPr>
        <w:spacing w:after="0"/>
        <w:ind w:left="0"/>
        <w:jc w:val="both"/>
      </w:pPr>
      <w:r>
        <w:rPr>
          <w:rFonts w:ascii="Times New Roman"/>
          <w:b w:val="false"/>
          <w:i w:val="false"/>
          <w:color w:val="000000"/>
          <w:sz w:val="28"/>
        </w:rPr>
        <w:t xml:space="preserve">
      4. The proposed amendment shall be deemed adopted if the Party in whose territory the subject of the proposed amendment is located reconfirms the proposal after consideration of the proposal at the Working Group meeting. The amendment as adopted shall be communicated by the secretariat to the Secretary-General of the United Nations, who shall circulate it to all Parties. </w:t>
      </w:r>
    </w:p>
    <w:bookmarkEnd w:id="43"/>
    <w:bookmarkStart w:name="z49" w:id="44"/>
    <w:p>
      <w:pPr>
        <w:spacing w:after="0"/>
        <w:ind w:left="0"/>
        <w:jc w:val="both"/>
      </w:pPr>
      <w:r>
        <w:rPr>
          <w:rFonts w:ascii="Times New Roman"/>
          <w:b w:val="false"/>
          <w:i w:val="false"/>
          <w:color w:val="000000"/>
          <w:sz w:val="28"/>
        </w:rPr>
        <w:t>
      5. The amendment adopted in accordance with paragraph 4 of the present article shall be deemed accepted and shall enter into force for all Parties after a period of forty-five (45) days following the date of the circular notification of the Secretary-General of the United Nations.</w:t>
      </w:r>
    </w:p>
    <w:bookmarkEnd w:id="44"/>
    <w:bookmarkStart w:name="z50" w:id="45"/>
    <w:p>
      <w:pPr>
        <w:spacing w:after="0"/>
        <w:ind w:left="0"/>
        <w:jc w:val="left"/>
      </w:pPr>
      <w:r>
        <w:rPr>
          <w:rFonts w:ascii="Times New Roman"/>
          <w:b/>
          <w:i w:val="false"/>
          <w:color w:val="000000"/>
        </w:rPr>
        <w:t xml:space="preserve"> Article 9 Procedures for amending Annex II</w:t>
      </w:r>
    </w:p>
    <w:bookmarkEnd w:id="45"/>
    <w:bookmarkStart w:name="z51" w:id="46"/>
    <w:p>
      <w:pPr>
        <w:spacing w:after="0"/>
        <w:ind w:left="0"/>
        <w:jc w:val="both"/>
      </w:pPr>
      <w:r>
        <w:rPr>
          <w:rFonts w:ascii="Times New Roman"/>
          <w:b w:val="false"/>
          <w:i w:val="false"/>
          <w:color w:val="000000"/>
          <w:sz w:val="28"/>
        </w:rPr>
        <w:t xml:space="preserve">
      1. Annex II to the Agreement shall be amended by the procedure specified in this Article. </w:t>
      </w:r>
    </w:p>
    <w:bookmarkEnd w:id="46"/>
    <w:bookmarkStart w:name="z52" w:id="47"/>
    <w:p>
      <w:pPr>
        <w:spacing w:after="0"/>
        <w:ind w:left="0"/>
        <w:jc w:val="both"/>
      </w:pPr>
      <w:r>
        <w:rPr>
          <w:rFonts w:ascii="Times New Roman"/>
          <w:b w:val="false"/>
          <w:i w:val="false"/>
          <w:color w:val="000000"/>
          <w:sz w:val="28"/>
        </w:rPr>
        <w:t xml:space="preserve">
      2. Amendments may be proposed by any Party. </w:t>
      </w:r>
    </w:p>
    <w:bookmarkEnd w:id="47"/>
    <w:bookmarkStart w:name="z53" w:id="48"/>
    <w:p>
      <w:pPr>
        <w:spacing w:after="0"/>
        <w:ind w:left="0"/>
        <w:jc w:val="both"/>
      </w:pPr>
      <w:r>
        <w:rPr>
          <w:rFonts w:ascii="Times New Roman"/>
          <w:b w:val="false"/>
          <w:i w:val="false"/>
          <w:color w:val="000000"/>
          <w:sz w:val="28"/>
        </w:rPr>
        <w:t xml:space="preserve">
      3. The text of any proposed amendment shall be circulated to all members of the Working Group by the secretariat at least forty-five (45) days before the Working Group meeting at which it is proposed for adoption. </w:t>
      </w:r>
    </w:p>
    <w:bookmarkEnd w:id="48"/>
    <w:bookmarkStart w:name="z54" w:id="49"/>
    <w:p>
      <w:pPr>
        <w:spacing w:after="0"/>
        <w:ind w:left="0"/>
        <w:jc w:val="both"/>
      </w:pPr>
      <w:r>
        <w:rPr>
          <w:rFonts w:ascii="Times New Roman"/>
          <w:b w:val="false"/>
          <w:i w:val="false"/>
          <w:color w:val="000000"/>
          <w:sz w:val="28"/>
        </w:rPr>
        <w:t xml:space="preserve">
      4. An amendment shall be adopted by a two-thirds majority of the Parties to the Agreement present and voting at the meeting of the Working Group. The amendment as adopted shall be communicated by the secretariat to the Secretary-General of the United Nations, who shall circulate it to all Parties. </w:t>
      </w:r>
    </w:p>
    <w:bookmarkEnd w:id="49"/>
    <w:bookmarkStart w:name="z55" w:id="50"/>
    <w:p>
      <w:pPr>
        <w:spacing w:after="0"/>
        <w:ind w:left="0"/>
        <w:jc w:val="both"/>
      </w:pPr>
      <w:r>
        <w:rPr>
          <w:rFonts w:ascii="Times New Roman"/>
          <w:b w:val="false"/>
          <w:i w:val="false"/>
          <w:color w:val="000000"/>
          <w:sz w:val="28"/>
        </w:rPr>
        <w:t xml:space="preserve">
      5. An amendment adopted in accordance with paragraph 4 of the present Article shall be deemed accepted if during a period of ninety (90) days from the date of the notification, less than one third of the Parties notifies the Secretary-General of the United Nations of their objection to the amendment. </w:t>
      </w:r>
    </w:p>
    <w:bookmarkEnd w:id="50"/>
    <w:bookmarkStart w:name="z56" w:id="51"/>
    <w:p>
      <w:pPr>
        <w:spacing w:after="0"/>
        <w:ind w:left="0"/>
        <w:jc w:val="both"/>
      </w:pPr>
      <w:r>
        <w:rPr>
          <w:rFonts w:ascii="Times New Roman"/>
          <w:b w:val="false"/>
          <w:i w:val="false"/>
          <w:color w:val="000000"/>
          <w:sz w:val="28"/>
        </w:rPr>
        <w:t>
      6. An amendment accepted in accordance with paragraph 5 of the present Article shall enter into force for all Parties thirty (30) days after the expiry of the period of ninety (90) days referred to in paragraph 5 of the present Article.</w:t>
      </w:r>
    </w:p>
    <w:bookmarkEnd w:id="51"/>
    <w:bookmarkStart w:name="z57" w:id="52"/>
    <w:p>
      <w:pPr>
        <w:spacing w:after="0"/>
        <w:ind w:left="0"/>
        <w:jc w:val="left"/>
      </w:pPr>
      <w:r>
        <w:rPr>
          <w:rFonts w:ascii="Times New Roman"/>
          <w:b/>
          <w:i w:val="false"/>
          <w:color w:val="000000"/>
        </w:rPr>
        <w:t xml:space="preserve"> Article 10 Reservations</w:t>
      </w:r>
    </w:p>
    <w:bookmarkEnd w:id="52"/>
    <w:bookmarkStart w:name="z58" w:id="53"/>
    <w:p>
      <w:pPr>
        <w:spacing w:after="0"/>
        <w:ind w:left="0"/>
        <w:jc w:val="both"/>
      </w:pPr>
      <w:r>
        <w:rPr>
          <w:rFonts w:ascii="Times New Roman"/>
          <w:b w:val="false"/>
          <w:i w:val="false"/>
          <w:color w:val="000000"/>
          <w:sz w:val="28"/>
        </w:rPr>
        <w:t xml:space="preserve">
      Reservations may not be made with respect to any of the provisions of the Agreement, except as provided in Article 13, paragraph 5 of the Agreement. </w:t>
      </w:r>
    </w:p>
    <w:bookmarkEnd w:id="53"/>
    <w:bookmarkStart w:name="z59" w:id="54"/>
    <w:p>
      <w:pPr>
        <w:spacing w:after="0"/>
        <w:ind w:left="0"/>
        <w:jc w:val="left"/>
      </w:pPr>
      <w:r>
        <w:rPr>
          <w:rFonts w:ascii="Times New Roman"/>
          <w:b/>
          <w:i w:val="false"/>
          <w:color w:val="000000"/>
        </w:rPr>
        <w:t xml:space="preserve"> Article 11 Withdrawal</w:t>
      </w:r>
    </w:p>
    <w:bookmarkEnd w:id="54"/>
    <w:bookmarkStart w:name="z60" w:id="55"/>
    <w:p>
      <w:pPr>
        <w:spacing w:after="0"/>
        <w:ind w:left="0"/>
        <w:jc w:val="both"/>
      </w:pPr>
      <w:r>
        <w:rPr>
          <w:rFonts w:ascii="Times New Roman"/>
          <w:b w:val="false"/>
          <w:i w:val="false"/>
          <w:color w:val="000000"/>
          <w:sz w:val="28"/>
        </w:rPr>
        <w:t>
      Any Party may withdraw from the Agreement by written notification addressed to the Secretary-General of the United Nations. The withdrawal shall take effect twelve (12) months after the date of receipt by the Secretary-General of such notification.</w:t>
      </w:r>
    </w:p>
    <w:bookmarkEnd w:id="55"/>
    <w:bookmarkStart w:name="z61" w:id="56"/>
    <w:p>
      <w:pPr>
        <w:spacing w:after="0"/>
        <w:ind w:left="0"/>
        <w:jc w:val="left"/>
      </w:pPr>
      <w:r>
        <w:rPr>
          <w:rFonts w:ascii="Times New Roman"/>
          <w:b/>
          <w:i w:val="false"/>
          <w:color w:val="000000"/>
        </w:rPr>
        <w:t xml:space="preserve"> Article 12 Suspension of validity</w:t>
      </w:r>
    </w:p>
    <w:bookmarkEnd w:id="56"/>
    <w:bookmarkStart w:name="z62" w:id="57"/>
    <w:p>
      <w:pPr>
        <w:spacing w:after="0"/>
        <w:ind w:left="0"/>
        <w:jc w:val="both"/>
      </w:pPr>
      <w:r>
        <w:rPr>
          <w:rFonts w:ascii="Times New Roman"/>
          <w:b w:val="false"/>
          <w:i w:val="false"/>
          <w:color w:val="000000"/>
          <w:sz w:val="28"/>
        </w:rPr>
        <w:t>
      The operation of the Agreement shall be suspended if the number of Parties becomes less than eight (8) for any period of twelve (12) consecutive months. The provisions of the Agreement shall again become operative thirty (30) days after the number of Parties reaches eight (8). In such situations, the Secretary-General of the United Nations shall notify the Parties.</w:t>
      </w:r>
    </w:p>
    <w:bookmarkEnd w:id="57"/>
    <w:bookmarkStart w:name="z63" w:id="58"/>
    <w:p>
      <w:pPr>
        <w:spacing w:after="0"/>
        <w:ind w:left="0"/>
        <w:jc w:val="left"/>
      </w:pPr>
      <w:r>
        <w:rPr>
          <w:rFonts w:ascii="Times New Roman"/>
          <w:b/>
          <w:i w:val="false"/>
          <w:color w:val="000000"/>
        </w:rPr>
        <w:t xml:space="preserve"> Article 13 Settlement of disputes</w:t>
      </w:r>
    </w:p>
    <w:bookmarkEnd w:id="58"/>
    <w:bookmarkStart w:name="z64" w:id="59"/>
    <w:p>
      <w:pPr>
        <w:spacing w:after="0"/>
        <w:ind w:left="0"/>
        <w:jc w:val="both"/>
      </w:pPr>
      <w:r>
        <w:rPr>
          <w:rFonts w:ascii="Times New Roman"/>
          <w:b w:val="false"/>
          <w:i w:val="false"/>
          <w:color w:val="000000"/>
          <w:sz w:val="28"/>
        </w:rPr>
        <w:t>
      1. Any dispute between two or more Parties which relates to the interpretation or application of the Agreement and which the Parties in dispute are unable to settle by negotiation or consultation shall be referred to conciliation if any of the Parties in dispute so requests and shall, to that end, be submitted to one or more conciliators to be mutually agreed by the Parties in dispute. If the Parties in dispute fail to agree on the choice of conciliator or conciliators within ninety (90) days after the request for conciliation, any of those Parties may request the Secretary-General of the United Nations to appoint a single independent conciliator to whom the dispute shall be submitted.</w:t>
      </w:r>
    </w:p>
    <w:bookmarkEnd w:id="59"/>
    <w:bookmarkStart w:name="z65" w:id="60"/>
    <w:p>
      <w:pPr>
        <w:spacing w:after="0"/>
        <w:ind w:left="0"/>
        <w:jc w:val="both"/>
      </w:pPr>
      <w:r>
        <w:rPr>
          <w:rFonts w:ascii="Times New Roman"/>
          <w:b w:val="false"/>
          <w:i w:val="false"/>
          <w:color w:val="000000"/>
          <w:sz w:val="28"/>
        </w:rPr>
        <w:t xml:space="preserve">
      2. The recommendation of the conciliator or conciliators appointed in accordance with paragraph 1 of this Article, while not binding in character, shall become the basis of renewed consideration by the Parties in dispute. </w:t>
      </w:r>
    </w:p>
    <w:bookmarkEnd w:id="60"/>
    <w:bookmarkStart w:name="z66" w:id="61"/>
    <w:p>
      <w:pPr>
        <w:spacing w:after="0"/>
        <w:ind w:left="0"/>
        <w:jc w:val="both"/>
      </w:pPr>
      <w:r>
        <w:rPr>
          <w:rFonts w:ascii="Times New Roman"/>
          <w:b w:val="false"/>
          <w:i w:val="false"/>
          <w:color w:val="000000"/>
          <w:sz w:val="28"/>
        </w:rPr>
        <w:t xml:space="preserve">
      3. The Parties in dispute may agree in advance to accept the recommendation of the conciliator or conciliators as binding. </w:t>
      </w:r>
    </w:p>
    <w:bookmarkEnd w:id="61"/>
    <w:bookmarkStart w:name="z67" w:id="62"/>
    <w:p>
      <w:pPr>
        <w:spacing w:after="0"/>
        <w:ind w:left="0"/>
        <w:jc w:val="both"/>
      </w:pPr>
      <w:r>
        <w:rPr>
          <w:rFonts w:ascii="Times New Roman"/>
          <w:b w:val="false"/>
          <w:i w:val="false"/>
          <w:color w:val="000000"/>
          <w:sz w:val="28"/>
        </w:rPr>
        <w:t xml:space="preserve">
      4. Paragraphs 1, 2 and 3 of the present Article shall not be construed as excluding other measures for the settlement of disputes mutually agreed between the Parties in dispute. </w:t>
      </w:r>
    </w:p>
    <w:bookmarkEnd w:id="62"/>
    <w:bookmarkStart w:name="z68" w:id="63"/>
    <w:p>
      <w:pPr>
        <w:spacing w:after="0"/>
        <w:ind w:left="0"/>
        <w:jc w:val="both"/>
      </w:pPr>
      <w:r>
        <w:rPr>
          <w:rFonts w:ascii="Times New Roman"/>
          <w:b w:val="false"/>
          <w:i w:val="false"/>
          <w:color w:val="000000"/>
          <w:sz w:val="28"/>
        </w:rPr>
        <w:t>
      5. Any State may, at the time of depositing its instrument of ratification, acceptance, approval or accession, deposit a reservation stating that it does not consider itself bound by the provisions of the present Article relating to conciliation. Other Parties shall not be bound by the provisions of the present Article relating to conciliation with respect to any Party which has deposited such a reservation.</w:t>
      </w:r>
    </w:p>
    <w:bookmarkEnd w:id="63"/>
    <w:bookmarkStart w:name="z69" w:id="64"/>
    <w:p>
      <w:pPr>
        <w:spacing w:after="0"/>
        <w:ind w:left="0"/>
        <w:jc w:val="left"/>
      </w:pPr>
      <w:r>
        <w:rPr>
          <w:rFonts w:ascii="Times New Roman"/>
          <w:b/>
          <w:i w:val="false"/>
          <w:color w:val="000000"/>
        </w:rPr>
        <w:t xml:space="preserve"> Article 14 Limits to the application</w:t>
      </w:r>
    </w:p>
    <w:bookmarkEnd w:id="64"/>
    <w:bookmarkStart w:name="z70" w:id="65"/>
    <w:p>
      <w:pPr>
        <w:spacing w:after="0"/>
        <w:ind w:left="0"/>
        <w:jc w:val="both"/>
      </w:pPr>
      <w:r>
        <w:rPr>
          <w:rFonts w:ascii="Times New Roman"/>
          <w:b w:val="false"/>
          <w:i w:val="false"/>
          <w:color w:val="000000"/>
          <w:sz w:val="28"/>
        </w:rPr>
        <w:t xml:space="preserve">
      1. Nothing in the Agreement shall be construed as preventing a Party from taking such action, compatible with the provisions of the Charter of the United Nations and limited to the exigencies of the situation, as it considers necessary for its external or internal security. </w:t>
      </w:r>
    </w:p>
    <w:bookmarkEnd w:id="65"/>
    <w:bookmarkStart w:name="z71" w:id="66"/>
    <w:p>
      <w:pPr>
        <w:spacing w:after="0"/>
        <w:ind w:left="0"/>
        <w:jc w:val="both"/>
      </w:pPr>
      <w:r>
        <w:rPr>
          <w:rFonts w:ascii="Times New Roman"/>
          <w:b w:val="false"/>
          <w:i w:val="false"/>
          <w:color w:val="000000"/>
          <w:sz w:val="28"/>
        </w:rPr>
        <w:t>
      2. Each Party shall make every possible effort to develop the dry ports in accordance with national laws and regulations in a manner that is consistent with the Agreement. However, nothing in the Agreement shall be construed as acceptance of an obligation by any Party to permit the movement of goods across its territory.</w:t>
      </w:r>
    </w:p>
    <w:bookmarkEnd w:id="66"/>
    <w:bookmarkStart w:name="z72" w:id="67"/>
    <w:p>
      <w:pPr>
        <w:spacing w:after="0"/>
        <w:ind w:left="0"/>
        <w:jc w:val="left"/>
      </w:pPr>
      <w:r>
        <w:rPr>
          <w:rFonts w:ascii="Times New Roman"/>
          <w:b/>
          <w:i w:val="false"/>
          <w:color w:val="000000"/>
        </w:rPr>
        <w:t xml:space="preserve"> Article 15 Annexes</w:t>
      </w:r>
    </w:p>
    <w:bookmarkEnd w:id="67"/>
    <w:bookmarkStart w:name="z73" w:id="68"/>
    <w:p>
      <w:pPr>
        <w:spacing w:after="0"/>
        <w:ind w:left="0"/>
        <w:jc w:val="both"/>
      </w:pPr>
      <w:r>
        <w:rPr>
          <w:rFonts w:ascii="Times New Roman"/>
          <w:b w:val="false"/>
          <w:i w:val="false"/>
          <w:color w:val="000000"/>
          <w:sz w:val="28"/>
        </w:rPr>
        <w:t xml:space="preserve">
      Annexes I and II to the Agreement shall form an integral part of the Agreement. </w:t>
      </w:r>
    </w:p>
    <w:bookmarkEnd w:id="68"/>
    <w:bookmarkStart w:name="z74" w:id="69"/>
    <w:p>
      <w:pPr>
        <w:spacing w:after="0"/>
        <w:ind w:left="0"/>
        <w:jc w:val="left"/>
      </w:pPr>
      <w:r>
        <w:rPr>
          <w:rFonts w:ascii="Times New Roman"/>
          <w:b/>
          <w:i w:val="false"/>
          <w:color w:val="000000"/>
        </w:rPr>
        <w:t xml:space="preserve"> Article 16 Secretariat</w:t>
      </w:r>
    </w:p>
    <w:bookmarkEnd w:id="69"/>
    <w:bookmarkStart w:name="z75" w:id="70"/>
    <w:p>
      <w:pPr>
        <w:spacing w:after="0"/>
        <w:ind w:left="0"/>
        <w:jc w:val="both"/>
      </w:pPr>
      <w:r>
        <w:rPr>
          <w:rFonts w:ascii="Times New Roman"/>
          <w:b w:val="false"/>
          <w:i w:val="false"/>
          <w:color w:val="000000"/>
          <w:sz w:val="28"/>
        </w:rPr>
        <w:t>
      The United Nations Economic and Social Commission for Asia and the Pacific shall be designated the secretariat of the Agreement.</w:t>
      </w:r>
    </w:p>
    <w:bookmarkEnd w:id="70"/>
    <w:bookmarkStart w:name="z76" w:id="71"/>
    <w:p>
      <w:pPr>
        <w:spacing w:after="0"/>
        <w:ind w:left="0"/>
        <w:jc w:val="left"/>
      </w:pPr>
      <w:r>
        <w:rPr>
          <w:rFonts w:ascii="Times New Roman"/>
          <w:b/>
          <w:i w:val="false"/>
          <w:color w:val="000000"/>
        </w:rPr>
        <w:t xml:space="preserve"> Article 17 Depositary</w:t>
      </w:r>
    </w:p>
    <w:bookmarkEnd w:id="71"/>
    <w:bookmarkStart w:name="z77" w:id="72"/>
    <w:p>
      <w:pPr>
        <w:spacing w:after="0"/>
        <w:ind w:left="0"/>
        <w:jc w:val="both"/>
      </w:pPr>
      <w:r>
        <w:rPr>
          <w:rFonts w:ascii="Times New Roman"/>
          <w:b w:val="false"/>
          <w:i w:val="false"/>
          <w:color w:val="000000"/>
          <w:sz w:val="28"/>
        </w:rPr>
        <w:t>
      The Secretary-General of the United Nations shall be designated the depositary of the Agreement.</w:t>
      </w:r>
    </w:p>
    <w:bookmarkEnd w:id="72"/>
    <w:bookmarkStart w:name="z78" w:id="73"/>
    <w:p>
      <w:pPr>
        <w:spacing w:after="0"/>
        <w:ind w:left="0"/>
        <w:jc w:val="both"/>
      </w:pPr>
      <w:r>
        <w:rPr>
          <w:rFonts w:ascii="Times New Roman"/>
          <w:b w:val="false"/>
          <w:i w:val="false"/>
          <w:color w:val="000000"/>
          <w:sz w:val="28"/>
        </w:rPr>
        <w:t>
      IN WITNESS WHEREOF, the undersigned, being duly authorized thereto, have signed the present Agreement, in a single copy in the Chinese, English and Russian languages, the three texts being equally authentic.</w:t>
      </w:r>
    </w:p>
    <w:bookmarkEnd w:id="73"/>
    <w:bookmarkStart w:name="z79" w:id="74"/>
    <w:p>
      <w:pPr>
        <w:spacing w:after="0"/>
        <w:ind w:left="0"/>
        <w:jc w:val="left"/>
      </w:pPr>
      <w:r>
        <w:rPr>
          <w:rFonts w:ascii="Times New Roman"/>
          <w:b/>
          <w:i w:val="false"/>
          <w:color w:val="000000"/>
        </w:rPr>
        <w:t xml:space="preserve"> Annex I</w:t>
      </w:r>
      <w:r>
        <w:br/>
      </w:r>
      <w:r>
        <w:rPr>
          <w:rFonts w:ascii="Times New Roman"/>
          <w:b/>
          <w:i w:val="false"/>
          <w:color w:val="000000"/>
        </w:rPr>
        <w:t>Dry ports of international importance</w:t>
      </w:r>
    </w:p>
    <w:bookmarkEnd w:id="74"/>
    <w:bookmarkStart w:name="z80" w:id="75"/>
    <w:p>
      <w:pPr>
        <w:spacing w:after="0"/>
        <w:ind w:left="0"/>
        <w:jc w:val="both"/>
      </w:pPr>
      <w:r>
        <w:rPr>
          <w:rFonts w:ascii="Times New Roman"/>
          <w:b w:val="false"/>
          <w:i w:val="false"/>
          <w:color w:val="000000"/>
          <w:sz w:val="28"/>
        </w:rPr>
        <w:t xml:space="preserve">
      1. The dry ports are normally located in the vicinity of: (a) inland capitals, provincial/state capitals; and/or (b) existing and/or potential production and consumption centres with access to highways and/or railways including the Asian Highway and/or Trans-Asian Railway, as appropriate. </w:t>
      </w:r>
    </w:p>
    <w:bookmarkEnd w:id="75"/>
    <w:bookmarkStart w:name="z81" w:id="76"/>
    <w:p>
      <w:pPr>
        <w:spacing w:after="0"/>
        <w:ind w:left="0"/>
        <w:jc w:val="both"/>
      </w:pPr>
      <w:r>
        <w:rPr>
          <w:rFonts w:ascii="Times New Roman"/>
          <w:b w:val="false"/>
          <w:i w:val="false"/>
          <w:color w:val="000000"/>
          <w:sz w:val="28"/>
        </w:rPr>
        <w:t xml:space="preserve">
      2. Dry ports have transport connections to other dry ports, border posts/land customs stations/integrated check posts, seaports, inland waterway terminals and/or airports. </w:t>
      </w:r>
    </w:p>
    <w:bookmarkEnd w:id="76"/>
    <w:bookmarkStart w:name="z82" w:id="77"/>
    <w:p>
      <w:pPr>
        <w:spacing w:after="0"/>
        <w:ind w:left="0"/>
        <w:jc w:val="both"/>
      </w:pPr>
      <w:r>
        <w:rPr>
          <w:rFonts w:ascii="Times New Roman"/>
          <w:b w:val="false"/>
          <w:i w:val="false"/>
          <w:color w:val="000000"/>
          <w:sz w:val="28"/>
        </w:rPr>
        <w:t xml:space="preserve">
      3. Dry ports are listed below. </w:t>
      </w:r>
    </w:p>
    <w:bookmarkEnd w:id="77"/>
    <w:bookmarkStart w:name="z83" w:id="78"/>
    <w:p>
      <w:pPr>
        <w:spacing w:after="0"/>
        <w:ind w:left="0"/>
        <w:jc w:val="both"/>
      </w:pPr>
      <w:r>
        <w:rPr>
          <w:rFonts w:ascii="Times New Roman"/>
          <w:b w:val="false"/>
          <w:i w:val="false"/>
          <w:color w:val="000000"/>
          <w:sz w:val="28"/>
        </w:rPr>
        <w:t xml:space="preserve">
      4. The name of a dry port is followed by its location or the name of the nearest town/city. </w:t>
      </w:r>
    </w:p>
    <w:bookmarkEnd w:id="78"/>
    <w:bookmarkStart w:name="z84" w:id="79"/>
    <w:p>
      <w:pPr>
        <w:spacing w:after="0"/>
        <w:ind w:left="0"/>
        <w:jc w:val="both"/>
      </w:pPr>
      <w:r>
        <w:rPr>
          <w:rFonts w:ascii="Times New Roman"/>
          <w:b w:val="false"/>
          <w:i w:val="false"/>
          <w:color w:val="000000"/>
          <w:sz w:val="28"/>
        </w:rPr>
        <w:t>
      5. Potential dry ports are indicated below in square brackets.</w:t>
      </w:r>
    </w:p>
    <w:bookmarkEnd w:id="79"/>
    <w:bookmarkStart w:name="z85" w:id="80"/>
    <w:p>
      <w:pPr>
        <w:spacing w:after="0"/>
        <w:ind w:left="0"/>
        <w:jc w:val="left"/>
      </w:pPr>
      <w:r>
        <w:rPr>
          <w:rFonts w:ascii="Times New Roman"/>
          <w:b/>
          <w:i w:val="false"/>
          <w:color w:val="000000"/>
        </w:rPr>
        <w:t xml:space="preserve"> List of dry ports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0"/>
        <w:gridCol w:w="59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Afghanistan</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Haqueena, Mimana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Heiratan Dry Port, Mazar-e-Sharif</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Islam Qala, Herat</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Kabul Dry Port, Kabul</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Shirkhan Bander Dry Port, Kondoz</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Speenboldake Chaman Dry Port, Kandahar</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Torkham Dry Port, Jalalabad</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Turghundi, Herat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Armenia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Akhuryan Logistic Center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Gyumri Airport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Karmir Blur/ Apaven Cargo Terminal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Zvartnots International Logistic Center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Azerbaijan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Baku Cargo Terminal of Heydar Aliyev International Airport, Baku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Balakan Cargo Terminal, Azerbaijan-Georgia border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Bilasuvar Cargo Terminal, Azerbaijan-Islamic Republic of Iran border</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Gabala International Airport, Gabala</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Ganja International Airport, Ganja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Heydar Aliyev International Airport, Baku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Julfa Cargo Terminal, Azerbaijan-Islamic Republic of Iran border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Lenkoran International Airport, Lenkoran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Nakhichevan International Airport, Autonomous Republic of Nakhichevan</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 Way Cargo Terminal, Baku</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Zagatala International Airport, Zagatala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[Baku City Goods Depot, Khirdalan Station]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Terminal on frontier point at state border, Samur]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Terminal on frontier point at state border, Sinig-Korpu]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Terminal of Baku International Sea Trade Port, Baku]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[Ganja Station, Ganja]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Logistics Centre, Alyat] [Keshla Station, Baku]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Baku International Sea Trade Port, Alyat]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[South Terminal on frontier point at state border (Astara)]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[Sumgait Station, Sumgait]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Bangladesh</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Akhaura, Brahmanbaria</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Benapole, Jessore</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Bibirbazar, Comilla</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Burimari, Lalmonirhat</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Hili, Dinajpur</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Kamlapur ICD, Dhaka</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Sonamasjid, Chapai Nawabganj</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Teknaf, Cox’s Bazar</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[Bangladbandh, Panchagargh]</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[Bhomra, Satkhira]</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[Bilonia, Feni]</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[Dhirasram ICD, Gajipur]</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[Gobrakura, Mymensingh]</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[Koraitali, Mymensigh]</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[Nakugao, Sherpur]</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[Ramgarh, Khagrachari]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[Tamabil, Sylhet]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Bhutan</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Phuentsholing Dry Port, Phuentsholing</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[Gelephu, Sarpang]</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[Gomtu, Samtse]</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[Nganglam, Samdrupjongkhar]</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[Samdrupjongkhar, Samdrupjongkhar]</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[Samtse, Samtse]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Cambodia</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Dry Port, Phnom Penh</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Olair World Wide Dry Port, Phnom Penh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Phnom Penh International Port, Phnom Penh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Phnom Penh Special Economic Zone, Phnom Penh</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 Nguon Dry Port, Bavet</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 Srun Dry Port, Phnom Penh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 Lay Dry Port, Phnom Penh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China </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Changchun Xinglong Bonded International Logistics Port, Changchun</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Erenhot South International Logistics Center, Erenhot</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Harbin Highway Freight Hub Station (Harbin Longyun Logistics Park)</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Hekou Port Transport Lofistics Park, Hekou</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Horgos International Logistics Park, Horgos</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Hunchun International Logistics Park, Humchun</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Jinghong Mengyang International Logistics Trading Center, Jinghong</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Kashi International Logistics Park, Kashi</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Tengjun International Land Port, Kunming</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Manzhouli New International Freight Yard, Manzhouli</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Nanning Bonded Logistics Center, Nanning</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Pingxiang Border Trade Logistics Center, Pingxiang (Youyi Guan)</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Ruili Cargo Centre, Ruili</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Suifenhe Cargo Centre, Suifenhe</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Xinjiang Railway International Logistics Park, Urumqi</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Yiwu Inland Port Station, Yiwu</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Zhangmu Port Warehouse Logistics Trading Center, Zhangmu</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Georgia</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Poti Free Industrial Zone, Poti</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[Tbilisi International Logistics Centre, Tbilisi]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India</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Ajni, Nagpur, Maharashtra</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Amingaon, Guwahati, Assam</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Aroor, Kerala</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Ballabhgarh, Faridabad, Haryana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Bhadohi, Sant Ravidas Nagar, Varanasi, Uttar Pradesh</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Bhagat Ki Kothi, Jodhpur, Rajasthan</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Chehreta, Amritsar, Punjab</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Dadri, Noida, Uttar Pradesh</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Daulatabad, Aurangabad, Maharashtra</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Dhandarikalan, Punjab</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Dhannad Rau, Indore, Madhya Pradesh</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Dronagiri Node, Navi Mumbai, Maharashtra</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Durgapur, West Bengal</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Garhi Harsaru, Gurgaon, Haryana</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Irugur, Coimbatore, Tamil Nadu</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Jamshedpur, Jharkhand</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Janory, Nasik, Maharashtra</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Kanakpura, Jaipur, Rajasthan</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Kanpur, Uttar Pradesh</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Khodiyar, Gujarat</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Loni, Ghaziabad, Uttar Pradesh</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Majerhat, Kolkata, West Bengal</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Mandideep, Bhopal, Madhya Pradesh</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Moradabad, Uttar Pradesh</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Patli, Gurgaon, Haryana</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Pithampur, Dhar, Madhya Pradesh</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Raipur, Chhattisgarh</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Sachin, Surat, Gujarat</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Sanath Nagar, Hyderabad, Andhra Pradesh</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Senewal, Ludhiana, Punjab</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Tondiarpet, Chennai, Tamil Nadu</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Tughlakabad, Delhi</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Vadodara, Gujarat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Whitefield, Bangalore, Karnataka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Indonesia</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Gedebage Dry Port, Bandung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Cikarang Dry Port, Bekasi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Iran (Islamic Republic of)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Imam Khomeini International Airport, Tehran Province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Motahari Rail Station, Mashhad, Khorasan Razavi Province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Salafchegan Special Economic Zone, Qom Province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Sirjan Special Economic Zone, Kerman Province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[Arvand Free Industrial Zone, Khozestan Province]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[Sahlan Special Economic Zone, Tabriz, East Azerbaijan Province]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[Sarakhs Special Economic Zone, Khorasan Razavi Province]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[Shahid Dastgheyb International Airport, Shiraz, Fars Province]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[Zahedan Logistics Centre, Sistan and Bakluchestan Province]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Aktobe Centre, Aktobe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Damu Industrial and Logistics Centre, Almaty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Tech Logistics, Almaty Region]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[Korgas International Border Cooperation Centre, Almaty Region]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 Terminal, Almaty Region]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Kyrgyzstan</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Alamedin, Bishkek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Osh, Osh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Lao People’s Democratic Republic </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Thanaleng, Vientiane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[Houyxai, Bokeo] </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[Laksao, Borikhamsai]</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[Luangprabang, Luangprabang]</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[Nateuy, Luangnamtha]</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[Oudomsai, Muangxai]</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[Pakse, Champasack]</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[Seno, Savanakhet]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[Thakhek, Khammouane]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Malaysia</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Inland Clearance Depot Kontena Nasional, Prai</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Inland Container Depot, Padang Besar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Clearance Depot Seri Setia, Kuala Lumpur</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Ipoh Cargo Terminal, Ipoh</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Nilai Inland Port, Nilai</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Tebedu Inland Port, Sarawak</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[Pulau Sebang Inland Depot, Pulau Sebang]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Mongolia</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Altanbulag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Sainshand</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Ulaanbaatar</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Zamyn-Uud</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[Choibalsan]</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Myanmar</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[Bago]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[Mandalay]</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[Mawlamyine]</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[Monywa]</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[Muse]</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[Pyay]</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[Tamu]</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[Yangon]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Nepal</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Bhairahawa ICD, Bhairahawa</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Biratnagar ICD, Biratnagar</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Birgunj ICD, Birgunj</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Kakarbhitta ICD, Kakarbhitta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[Tatopani ICD, Larcha]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Pakistan</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Dry Port, Hyderabad</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Dry Port, Peshawar</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Faisalabad Dry Port Trust, Faisalabad</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Lahore Dry Port, Mughalpura</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Margalla Dry Ports, Islamabad</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Multan Dry Port Trust, Multan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Logistics Center Container Freight Station, Lahore</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Logistics Center Dry Port, Quetta</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Pakistan Railways Prem Nagar Dry Port, Kasur</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Railways Dry Port, Quetta</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Sambrial Dry Port, Sialkot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 Route Dry Port, Sost, Gilgit, Baltistan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Philippines</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Clark, Angeles City, Pampanga, Luzon</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Davao City, Eastern Mindanao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Koronadal City, South Cotabato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Laguindingan, Misamis Oriental, Northern Mindanao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Zamboanga City, Western Mindanao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Korea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Uiwang ICD, Uiwang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Russian Federation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Janino Logistic Park, Saint Petersburg Region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Multimodal Logistic Complex “Rostov universal port”, Rostov-on-Don Region,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 Logistics Centre “Baltiysky”, Leningrad Region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 Logistics Centre “Kleshchiha”, Novosibirsk</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 Logistics Centre “Doskino”, Nizhny Novgorod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[Dmitrovsky Multimodal Centre, Moscow Region]</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[Kaliningrad]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[Multimodal Logistic Complex “Southern Primorsky Terminal”, Primorsky Region]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[Svijazhsky Multimodal Logistic Centre, Tatarstan]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 Logistics Centre “Primorsky” Ussuriysk, Primorsky Region]</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 Logistics Centre “Tamansky”, Krasnodar Region]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 Logistics Centre “Beliy Rast”, Moscow Region]</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[Volgograd]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[Yekaterinburg]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Sri Lanka</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[Peliyagoda, Colombo]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[Telangapata, Colombo]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Tajikistan</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Dushanbe, Dushanbe</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Karamyk, Jirgital</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Khujand, Khujand</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Kurgan-Tube, Kurgan-Tube</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Nizhniy Panj, Qumsamgir</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Tursunzade, Tursunzade</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Vakhdat, Vakhdat</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Thailand</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Lat Krabang ICD, Bangkok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[Chiang Khong, Chiang Rai]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[Natha, Nong Khai]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Turkey</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Gelemen, Samsun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Kazan, Ankara</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[Bogazkopru, Kayseri]</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[Bozuyuk, Bilecik]</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[Gokkoy, Balikesir]</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[Habur]</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[Halkali, Istanbul]</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[Hasanbey, Eskisehir]</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[Kaklik, Denizli]</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[Kars]</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[Kayacik, Konya]</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[Kosekoy, Izmit]</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[Mardin]</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[Palandoken, Erzurum]</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[Sivas]</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[Turkoglu, Kahramanmaras]</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[Usak]</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[Yenice, Mersin]</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[Yesilbayir, Istanbul]</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Viet Nam</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ICD Lao Cai, Lao Cai Province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ICD Song Than, Binh Duong Province</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ICD Tan Cang-Long Binh, Dong Nai Province</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ICD Tien Son, Bac Ninh Province</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[Ханой] [Hanoi]</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[ICD Gia Lai, Gia Lai Province]</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[ICD Vinh Phuc, Vinh Phuc Province]</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 Son]</w:t>
            </w:r>
          </w:p>
        </w:tc>
      </w:tr>
    </w:tbl>
    <w:bookmarkStart w:name="z86" w:id="81"/>
    <w:p>
      <w:pPr>
        <w:spacing w:after="0"/>
        <w:ind w:left="0"/>
        <w:jc w:val="left"/>
      </w:pPr>
      <w:r>
        <w:rPr>
          <w:rFonts w:ascii="Times New Roman"/>
          <w:b/>
          <w:i w:val="false"/>
          <w:color w:val="000000"/>
        </w:rPr>
        <w:t xml:space="preserve"> Annex II</w:t>
      </w:r>
      <w:r>
        <w:br/>
      </w:r>
      <w:r>
        <w:rPr>
          <w:rFonts w:ascii="Times New Roman"/>
          <w:b/>
          <w:i w:val="false"/>
          <w:color w:val="000000"/>
        </w:rPr>
        <w:t>Guiding principles for the development and operation of dry ports</w:t>
      </w:r>
      <w:r>
        <w:br/>
      </w:r>
      <w:r>
        <w:rPr>
          <w:rFonts w:ascii="Times New Roman"/>
          <w:b/>
          <w:i w:val="false"/>
          <w:color w:val="000000"/>
        </w:rPr>
        <w:t>1. General part</w:t>
      </w:r>
    </w:p>
    <w:bookmarkEnd w:id="81"/>
    <w:bookmarkStart w:name="z87" w:id="82"/>
    <w:p>
      <w:pPr>
        <w:spacing w:after="0"/>
        <w:ind w:left="0"/>
        <w:jc w:val="both"/>
      </w:pPr>
      <w:r>
        <w:rPr>
          <w:rFonts w:ascii="Times New Roman"/>
          <w:b w:val="false"/>
          <w:i w:val="false"/>
          <w:color w:val="000000"/>
          <w:sz w:val="28"/>
        </w:rPr>
        <w:t xml:space="preserve">
      The development and operation of dry ports, as listed in Annex I of the Agreement, shall be guided by the principles described below. Parties shall make every possible effort to conform to these principles in constructing, upgrading and operating dry ports. </w:t>
      </w:r>
    </w:p>
    <w:bookmarkEnd w:id="82"/>
    <w:bookmarkStart w:name="z88" w:id="83"/>
    <w:p>
      <w:pPr>
        <w:spacing w:after="0"/>
        <w:ind w:left="0"/>
        <w:jc w:val="left"/>
      </w:pPr>
      <w:r>
        <w:rPr>
          <w:rFonts w:ascii="Times New Roman"/>
          <w:b/>
          <w:i w:val="false"/>
          <w:color w:val="000000"/>
        </w:rPr>
        <w:t xml:space="preserve"> 2. Functions</w:t>
      </w:r>
    </w:p>
    <w:bookmarkEnd w:id="83"/>
    <w:bookmarkStart w:name="z89" w:id="84"/>
    <w:p>
      <w:pPr>
        <w:spacing w:after="0"/>
        <w:ind w:left="0"/>
        <w:jc w:val="both"/>
      </w:pPr>
      <w:r>
        <w:rPr>
          <w:rFonts w:ascii="Times New Roman"/>
          <w:b w:val="false"/>
          <w:i w:val="false"/>
          <w:color w:val="000000"/>
          <w:sz w:val="28"/>
        </w:rPr>
        <w:t>
      The basic functions of dry ports shall include the handling, storage and regulatory inspection of goods moving in international trade and the execution of applicable customs control and formalities. Additional functions of dry ports may include, but are not limited to:</w:t>
      </w:r>
    </w:p>
    <w:bookmarkEnd w:id="84"/>
    <w:bookmarkStart w:name="z90" w:id="85"/>
    <w:p>
      <w:pPr>
        <w:spacing w:after="0"/>
        <w:ind w:left="0"/>
        <w:jc w:val="both"/>
      </w:pPr>
      <w:r>
        <w:rPr>
          <w:rFonts w:ascii="Times New Roman"/>
          <w:b w:val="false"/>
          <w:i w:val="false"/>
          <w:color w:val="000000"/>
          <w:sz w:val="28"/>
        </w:rPr>
        <w:t xml:space="preserve">
      a) Receipt and dispatch; </w:t>
      </w:r>
    </w:p>
    <w:bookmarkEnd w:id="85"/>
    <w:bookmarkStart w:name="z91" w:id="86"/>
    <w:p>
      <w:pPr>
        <w:spacing w:after="0"/>
        <w:ind w:left="0"/>
        <w:jc w:val="both"/>
      </w:pPr>
      <w:r>
        <w:rPr>
          <w:rFonts w:ascii="Times New Roman"/>
          <w:b w:val="false"/>
          <w:i w:val="false"/>
          <w:color w:val="000000"/>
          <w:sz w:val="28"/>
        </w:rPr>
        <w:t xml:space="preserve">
      b) Consolidation and distribution; </w:t>
      </w:r>
    </w:p>
    <w:bookmarkEnd w:id="86"/>
    <w:bookmarkStart w:name="z92" w:id="87"/>
    <w:p>
      <w:pPr>
        <w:spacing w:after="0"/>
        <w:ind w:left="0"/>
        <w:jc w:val="both"/>
      </w:pPr>
      <w:r>
        <w:rPr>
          <w:rFonts w:ascii="Times New Roman"/>
          <w:b w:val="false"/>
          <w:i w:val="false"/>
          <w:color w:val="000000"/>
          <w:sz w:val="28"/>
        </w:rPr>
        <w:t xml:space="preserve">
      c) Warehousing; </w:t>
      </w:r>
    </w:p>
    <w:bookmarkEnd w:id="87"/>
    <w:bookmarkStart w:name="z93" w:id="88"/>
    <w:p>
      <w:pPr>
        <w:spacing w:after="0"/>
        <w:ind w:left="0"/>
        <w:jc w:val="both"/>
      </w:pPr>
      <w:r>
        <w:rPr>
          <w:rFonts w:ascii="Times New Roman"/>
          <w:b w:val="false"/>
          <w:i w:val="false"/>
          <w:color w:val="000000"/>
          <w:sz w:val="28"/>
        </w:rPr>
        <w:t>
      d) Transshipment.</w:t>
      </w:r>
    </w:p>
    <w:bookmarkEnd w:id="88"/>
    <w:bookmarkStart w:name="z94" w:id="89"/>
    <w:p>
      <w:pPr>
        <w:spacing w:after="0"/>
        <w:ind w:left="0"/>
        <w:jc w:val="left"/>
      </w:pPr>
      <w:r>
        <w:rPr>
          <w:rFonts w:ascii="Times New Roman"/>
          <w:b/>
          <w:i w:val="false"/>
          <w:color w:val="000000"/>
        </w:rPr>
        <w:t xml:space="preserve"> 3. Institutional, administrative and regulatory framework</w:t>
      </w:r>
    </w:p>
    <w:bookmarkEnd w:id="89"/>
    <w:bookmarkStart w:name="z95" w:id="90"/>
    <w:p>
      <w:pPr>
        <w:spacing w:after="0"/>
        <w:ind w:left="0"/>
        <w:jc w:val="both"/>
      </w:pPr>
      <w:r>
        <w:rPr>
          <w:rFonts w:ascii="Times New Roman"/>
          <w:b w:val="false"/>
          <w:i w:val="false"/>
          <w:color w:val="000000"/>
          <w:sz w:val="28"/>
        </w:rPr>
        <w:t>
      Parties shall initiate institutional, administrative and regulatory frameworks that are favourable to the development and smooth operation of dry ports, including procedures for regulatory inspection and the execution of applicable customs control and formalities in line with the national laws and regulations of the Party concerned. Dry ports, as listed in Annex I of this Agreement, may be designated as points of origin or destination in transport and customs documentation. The Parties shall collaborate with relevant transport service providers, international organizations and institutions to ensure recognition of dry ports. The ownership of dry ports can be public, private or public-private partnerships.</w:t>
      </w:r>
    </w:p>
    <w:bookmarkEnd w:id="90"/>
    <w:bookmarkStart w:name="z96" w:id="91"/>
    <w:p>
      <w:pPr>
        <w:spacing w:after="0"/>
        <w:ind w:left="0"/>
        <w:jc w:val="left"/>
      </w:pPr>
      <w:r>
        <w:rPr>
          <w:rFonts w:ascii="Times New Roman"/>
          <w:b/>
          <w:i w:val="false"/>
          <w:color w:val="000000"/>
        </w:rPr>
        <w:t xml:space="preserve"> 4. Design, layout and capacity</w:t>
      </w:r>
    </w:p>
    <w:bookmarkEnd w:id="91"/>
    <w:bookmarkStart w:name="z97" w:id="92"/>
    <w:p>
      <w:pPr>
        <w:spacing w:after="0"/>
        <w:ind w:left="0"/>
        <w:jc w:val="both"/>
      </w:pPr>
      <w:r>
        <w:rPr>
          <w:rFonts w:ascii="Times New Roman"/>
          <w:b w:val="false"/>
          <w:i w:val="false"/>
          <w:color w:val="000000"/>
          <w:sz w:val="28"/>
        </w:rPr>
        <w:t>
      Dry ports shall be developed with adequate capacity and layout to allow for the secure and smooth flow of containers, cargoes and vehicles within and through the dry port and to make provision for expansion of capacity, as appropriate, taking into account the modes of transport served, the requirements of the users of the dry port and expected future container and cargo volumes.</w:t>
      </w:r>
    </w:p>
    <w:bookmarkEnd w:id="92"/>
    <w:bookmarkStart w:name="z98" w:id="93"/>
    <w:p>
      <w:pPr>
        <w:spacing w:after="0"/>
        <w:ind w:left="0"/>
        <w:jc w:val="left"/>
      </w:pPr>
      <w:r>
        <w:rPr>
          <w:rFonts w:ascii="Times New Roman"/>
          <w:b/>
          <w:i w:val="false"/>
          <w:color w:val="000000"/>
        </w:rPr>
        <w:t xml:space="preserve"> 5. Infrastructure, equipment and facilities</w:t>
      </w:r>
    </w:p>
    <w:bookmarkEnd w:id="93"/>
    <w:bookmarkStart w:name="z99" w:id="94"/>
    <w:p>
      <w:pPr>
        <w:spacing w:after="0"/>
        <w:ind w:left="0"/>
        <w:jc w:val="both"/>
      </w:pPr>
      <w:r>
        <w:rPr>
          <w:rFonts w:ascii="Times New Roman"/>
          <w:b w:val="false"/>
          <w:i w:val="false"/>
          <w:color w:val="000000"/>
          <w:sz w:val="28"/>
        </w:rPr>
        <w:t>
      Dry ports shall have infrastructure, equipment and manpower commensurate with existing and expected freight volumes at the discretion of the Parties in accordance with their national laws, regulations and practices. This provision is recommendatory in nature and shall not be binding with respect to the following:</w:t>
      </w:r>
    </w:p>
    <w:bookmarkEnd w:id="94"/>
    <w:bookmarkStart w:name="z100" w:id="95"/>
    <w:p>
      <w:pPr>
        <w:spacing w:after="0"/>
        <w:ind w:left="0"/>
        <w:jc w:val="both"/>
      </w:pPr>
      <w:r>
        <w:rPr>
          <w:rFonts w:ascii="Times New Roman"/>
          <w:b w:val="false"/>
          <w:i w:val="false"/>
          <w:color w:val="000000"/>
          <w:sz w:val="28"/>
        </w:rPr>
        <w:t xml:space="preserve">
      а) A secure area with a gate for dedicated entrance and exit; </w:t>
      </w:r>
    </w:p>
    <w:bookmarkEnd w:id="95"/>
    <w:bookmarkStart w:name="z101" w:id="96"/>
    <w:p>
      <w:pPr>
        <w:spacing w:after="0"/>
        <w:ind w:left="0"/>
        <w:jc w:val="both"/>
      </w:pPr>
      <w:r>
        <w:rPr>
          <w:rFonts w:ascii="Times New Roman"/>
          <w:b w:val="false"/>
          <w:i w:val="false"/>
          <w:color w:val="000000"/>
          <w:sz w:val="28"/>
        </w:rPr>
        <w:t xml:space="preserve">
      b) Covered and open storage areas separated for import, export and transshipment, and for perishable goods, high-value cargoes and dangerous cargoes, including hazardous substances; </w:t>
      </w:r>
    </w:p>
    <w:bookmarkEnd w:id="96"/>
    <w:bookmarkStart w:name="z102" w:id="97"/>
    <w:p>
      <w:pPr>
        <w:spacing w:after="0"/>
        <w:ind w:left="0"/>
        <w:jc w:val="both"/>
      </w:pPr>
      <w:r>
        <w:rPr>
          <w:rFonts w:ascii="Times New Roman"/>
          <w:b w:val="false"/>
          <w:i w:val="false"/>
          <w:color w:val="000000"/>
          <w:sz w:val="28"/>
        </w:rPr>
        <w:t xml:space="preserve">
      c) Warehousing facilities, which may include customs bonded warehousing facilities; </w:t>
      </w:r>
    </w:p>
    <w:bookmarkEnd w:id="97"/>
    <w:bookmarkStart w:name="z103" w:id="98"/>
    <w:p>
      <w:pPr>
        <w:spacing w:after="0"/>
        <w:ind w:left="0"/>
        <w:jc w:val="both"/>
      </w:pPr>
      <w:r>
        <w:rPr>
          <w:rFonts w:ascii="Times New Roman"/>
          <w:b w:val="false"/>
          <w:i w:val="false"/>
          <w:color w:val="000000"/>
          <w:sz w:val="28"/>
        </w:rPr>
        <w:t xml:space="preserve">
      d) Customs supervision, control, inspection and storage facilities; </w:t>
      </w:r>
    </w:p>
    <w:bookmarkEnd w:id="98"/>
    <w:bookmarkStart w:name="z104" w:id="99"/>
    <w:p>
      <w:pPr>
        <w:spacing w:after="0"/>
        <w:ind w:left="0"/>
        <w:jc w:val="both"/>
      </w:pPr>
      <w:r>
        <w:rPr>
          <w:rFonts w:ascii="Times New Roman"/>
          <w:b w:val="false"/>
          <w:i w:val="false"/>
          <w:color w:val="000000"/>
          <w:sz w:val="28"/>
        </w:rPr>
        <w:t xml:space="preserve">
      e) Appropriate cargo and container handling equipment; </w:t>
      </w:r>
    </w:p>
    <w:bookmarkEnd w:id="99"/>
    <w:bookmarkStart w:name="z105" w:id="100"/>
    <w:p>
      <w:pPr>
        <w:spacing w:after="0"/>
        <w:ind w:left="0"/>
        <w:jc w:val="both"/>
      </w:pPr>
      <w:r>
        <w:rPr>
          <w:rFonts w:ascii="Times New Roman"/>
          <w:b w:val="false"/>
          <w:i w:val="false"/>
          <w:color w:val="000000"/>
          <w:sz w:val="28"/>
        </w:rPr>
        <w:t xml:space="preserve">
      f) Internal service roads and pavement for use in the operation and stacking area; </w:t>
      </w:r>
    </w:p>
    <w:bookmarkEnd w:id="100"/>
    <w:bookmarkStart w:name="z106" w:id="101"/>
    <w:p>
      <w:pPr>
        <w:spacing w:after="0"/>
        <w:ind w:left="0"/>
        <w:jc w:val="both"/>
      </w:pPr>
      <w:r>
        <w:rPr>
          <w:rFonts w:ascii="Times New Roman"/>
          <w:b w:val="false"/>
          <w:i w:val="false"/>
          <w:color w:val="000000"/>
          <w:sz w:val="28"/>
        </w:rPr>
        <w:t xml:space="preserve">
      g) Vehicle holding areas with adequate parking space for freight vehicles; </w:t>
      </w:r>
    </w:p>
    <w:bookmarkEnd w:id="101"/>
    <w:bookmarkStart w:name="z107" w:id="102"/>
    <w:p>
      <w:pPr>
        <w:spacing w:after="0"/>
        <w:ind w:left="0"/>
        <w:jc w:val="both"/>
      </w:pPr>
      <w:r>
        <w:rPr>
          <w:rFonts w:ascii="Times New Roman"/>
          <w:b w:val="false"/>
          <w:i w:val="false"/>
          <w:color w:val="000000"/>
          <w:sz w:val="28"/>
        </w:rPr>
        <w:t xml:space="preserve">
      h) An administrative building for customs, freight forwarders, shippers, customs brokers, banks and other related agencies; </w:t>
      </w:r>
    </w:p>
    <w:bookmarkEnd w:id="102"/>
    <w:bookmarkStart w:name="z108" w:id="103"/>
    <w:p>
      <w:pPr>
        <w:spacing w:after="0"/>
        <w:ind w:left="0"/>
        <w:jc w:val="both"/>
      </w:pPr>
      <w:r>
        <w:rPr>
          <w:rFonts w:ascii="Times New Roman"/>
          <w:b w:val="false"/>
          <w:i w:val="false"/>
          <w:color w:val="000000"/>
          <w:sz w:val="28"/>
        </w:rPr>
        <w:t xml:space="preserve">
      i) Information and communication systems, which include electronic data interchange systems, scanners and vehicle weighing equipment; </w:t>
      </w:r>
    </w:p>
    <w:bookmarkEnd w:id="103"/>
    <w:bookmarkStart w:name="z109" w:id="104"/>
    <w:p>
      <w:pPr>
        <w:spacing w:after="0"/>
        <w:ind w:left="0"/>
        <w:jc w:val="both"/>
      </w:pPr>
      <w:r>
        <w:rPr>
          <w:rFonts w:ascii="Times New Roman"/>
          <w:b w:val="false"/>
          <w:i w:val="false"/>
          <w:color w:val="000000"/>
          <w:sz w:val="28"/>
        </w:rPr>
        <w:t>
      j) A container, vehicle and equipment repair yard, if necessary.</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