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ec23" w14:textId="8e3e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maintenance and use of the register of entrepreneurs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28, 2015 № 1091. It became invalid by the Decree of the Government of the Republic of Kazakhstan dated 24.10.2024 № 886.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Decree of the Government of the Republic of Kazakhstan dated .24.10.2024 № 886 (effective after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1) of paragraph 1 of article 84 of the Entrepreneur Code of the Republic of Kazakhstan dated October 29, 2015, the Government of the Republic of Kazakhstan </w:t>
      </w:r>
      <w:r>
        <w:rPr>
          <w:rFonts w:ascii="Times New Roman"/>
          <w:b/>
          <w:i w:val="false"/>
          <w:color w:val="000000"/>
          <w:sz w:val="28"/>
        </w:rPr>
        <w:t>HEREBY DECREES:</w:t>
      </w:r>
    </w:p>
    <w:p>
      <w:pPr>
        <w:spacing w:after="0"/>
        <w:ind w:left="0"/>
        <w:jc w:val="both"/>
      </w:pPr>
      <w:r>
        <w:rPr>
          <w:rFonts w:ascii="Times New Roman"/>
          <w:b w:val="false"/>
          <w:i w:val="false"/>
          <w:color w:val="000000"/>
          <w:sz w:val="28"/>
        </w:rPr>
        <w:t>
      1. To approve the attached Rules for the maintenance and use of the register of entrepreneurs.</w:t>
      </w:r>
    </w:p>
    <w:p>
      <w:pPr>
        <w:spacing w:after="0"/>
        <w:ind w:left="0"/>
        <w:jc w:val="both"/>
      </w:pPr>
      <w:r>
        <w:rPr>
          <w:rFonts w:ascii="Times New Roman"/>
          <w:b w:val="false"/>
          <w:i w:val="false"/>
          <w:color w:val="000000"/>
          <w:sz w:val="28"/>
        </w:rPr>
        <w:t>
      2. To recognize invalid the decree of the Government of the Republic of Kazakhstan dated May 20, 2014 № 511 “On approval of the Rules for the maintenance and use of the register of entrepreneurs” (Collected Acts of the President and the Government of the Republic of Kazakhstan, 2014, № 34, art. 325).</w:t>
      </w:r>
    </w:p>
    <w:p>
      <w:pPr>
        <w:spacing w:after="0"/>
        <w:ind w:left="0"/>
        <w:jc w:val="both"/>
      </w:pPr>
      <w:r>
        <w:rPr>
          <w:rFonts w:ascii="Times New Roman"/>
          <w:b w:val="false"/>
          <w:i w:val="false"/>
          <w:color w:val="000000"/>
          <w:sz w:val="28"/>
        </w:rPr>
        <w:t>
      3. This decree shall take effect from January 1, 2016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28, 2015 № 1091 </w:t>
            </w:r>
          </w:p>
        </w:tc>
      </w:tr>
    </w:tbl>
    <w:p>
      <w:pPr>
        <w:spacing w:after="0"/>
        <w:ind w:left="0"/>
        <w:jc w:val="left"/>
      </w:pPr>
      <w:r>
        <w:rPr>
          <w:rFonts w:ascii="Times New Roman"/>
          <w:b/>
          <w:i w:val="false"/>
          <w:color w:val="000000"/>
        </w:rPr>
        <w:t xml:space="preserve"> Rules for the maintenance and use of the register of entrepreneurs 1. Общие положения</w:t>
      </w:r>
    </w:p>
    <w:p>
      <w:pPr>
        <w:spacing w:after="0"/>
        <w:ind w:left="0"/>
        <w:jc w:val="both"/>
      </w:pPr>
      <w:r>
        <w:rPr>
          <w:rFonts w:ascii="Times New Roman"/>
          <w:b w:val="false"/>
          <w:i w:val="false"/>
          <w:color w:val="000000"/>
          <w:sz w:val="28"/>
        </w:rPr>
        <w:t>
      1. These Rules for the maintenance and use of the register of entrepreneurs (hereinafter referred to as the Rules) have been developed in accordance with subparagraph 1) of paragraph 1 of article 84 of the Entrepreneur Code of the Republic of Kazakhstan dated October 29, 2015 (hereinafter referred to as the Code) and shall determine the procedure for the maintenance and use of the register of entrepreneurs.</w:t>
      </w:r>
    </w:p>
    <w:p>
      <w:pPr>
        <w:spacing w:after="0"/>
        <w:ind w:left="0"/>
        <w:jc w:val="both"/>
      </w:pPr>
      <w:r>
        <w:rPr>
          <w:rFonts w:ascii="Times New Roman"/>
          <w:b w:val="false"/>
          <w:i w:val="false"/>
          <w:color w:val="000000"/>
          <w:sz w:val="28"/>
        </w:rPr>
        <w:t>
      2. The following main definitions shall be used in these Rules:</w:t>
      </w:r>
    </w:p>
    <w:p>
      <w:pPr>
        <w:spacing w:after="0"/>
        <w:ind w:left="0"/>
        <w:jc w:val="both"/>
      </w:pPr>
      <w:r>
        <w:rPr>
          <w:rFonts w:ascii="Times New Roman"/>
          <w:b w:val="false"/>
          <w:i w:val="false"/>
          <w:color w:val="000000"/>
          <w:sz w:val="28"/>
        </w:rPr>
        <w:t xml:space="preserve">
      1) business identification number (BIN) – a unique number generated for a legal entity and an individual carrying out the activities in kind of joint entrepreneurship; </w:t>
      </w:r>
    </w:p>
    <w:p>
      <w:pPr>
        <w:spacing w:after="0"/>
        <w:ind w:left="0"/>
        <w:jc w:val="both"/>
      </w:pPr>
      <w:r>
        <w:rPr>
          <w:rFonts w:ascii="Times New Roman"/>
          <w:b w:val="false"/>
          <w:i w:val="false"/>
          <w:color w:val="000000"/>
          <w:sz w:val="28"/>
        </w:rPr>
        <w:t xml:space="preserve">
      2) register – register of entrepreneurs is an electronic database containing information about categories of entrepreneurs; </w:t>
      </w:r>
    </w:p>
    <w:p>
      <w:pPr>
        <w:spacing w:after="0"/>
        <w:ind w:left="0"/>
        <w:jc w:val="both"/>
      </w:pPr>
      <w:r>
        <w:rPr>
          <w:rFonts w:ascii="Times New Roman"/>
          <w:b w:val="false"/>
          <w:i w:val="false"/>
          <w:color w:val="000000"/>
          <w:sz w:val="28"/>
        </w:rPr>
        <w:t xml:space="preserve">
      3) individual identification number (IIN) – a unique number generated for an individual, including for an individual entrepreneur carrying out activities in kind of individual entrepreneurship; </w:t>
      </w:r>
    </w:p>
    <w:p>
      <w:pPr>
        <w:spacing w:after="0"/>
        <w:ind w:left="0"/>
        <w:jc w:val="both"/>
      </w:pPr>
      <w:r>
        <w:rPr>
          <w:rFonts w:ascii="Times New Roman"/>
          <w:b w:val="false"/>
          <w:i w:val="false"/>
          <w:color w:val="000000"/>
          <w:sz w:val="28"/>
        </w:rPr>
        <w:t>
      4) information system “Legal Entities” State Database” (LESD) – the national register of business identification numbers, information system, designated for registration and storage of information about legal entities, created and terminated activities (branches and representative offices) individual entrepreneurs, carrying out activities in kind of joint entrepreneurship, generation and storage of information about assigned business identification numbers;</w:t>
      </w:r>
    </w:p>
    <w:p>
      <w:pPr>
        <w:spacing w:after="0"/>
        <w:ind w:left="0"/>
        <w:jc w:val="both"/>
      </w:pPr>
      <w:r>
        <w:rPr>
          <w:rFonts w:ascii="Times New Roman"/>
          <w:b w:val="false"/>
          <w:i w:val="false"/>
          <w:color w:val="000000"/>
          <w:sz w:val="28"/>
        </w:rPr>
        <w:t>
      5) electronic digital signature (EDS) – a set of electronic digital symbols created by means of electronic digital signature and confirming the authenticity of the electronic document, its belonging and invariance of the content;</w:t>
      </w:r>
    </w:p>
    <w:p>
      <w:pPr>
        <w:spacing w:after="0"/>
        <w:ind w:left="0"/>
        <w:jc w:val="both"/>
      </w:pPr>
      <w:r>
        <w:rPr>
          <w:rFonts w:ascii="Times New Roman"/>
          <w:b w:val="false"/>
          <w:i w:val="false"/>
          <w:color w:val="000000"/>
          <w:sz w:val="28"/>
        </w:rPr>
        <w:t xml:space="preserve">
      6) national Certification Authority of the Republic of Kazakhstan (NCA) – the certification center servicing the participants of “e-government” of state and non-state information systems, certifying compliance of an open key of an electronic digital signature with the closed key of an electronic digital signature, as well as confirming the , authenticity of the registration certificate, issued for individuals and legal entities; </w:t>
      </w:r>
    </w:p>
    <w:p>
      <w:pPr>
        <w:spacing w:after="0"/>
        <w:ind w:left="0"/>
        <w:jc w:val="both"/>
      </w:pPr>
      <w:r>
        <w:rPr>
          <w:rFonts w:ascii="Times New Roman"/>
          <w:b w:val="false"/>
          <w:i w:val="false"/>
          <w:color w:val="000000"/>
          <w:sz w:val="28"/>
        </w:rPr>
        <w:t xml:space="preserve">
      7) state electronic register of permissions and notifications – a component of state information system of permissions and notifications, containing the information about issued, re-registered, suspended, cancelled, extended, renewed and terminated permissions and their duplicates, as well as about notifications received; </w:t>
      </w:r>
    </w:p>
    <w:p>
      <w:pPr>
        <w:spacing w:after="0"/>
        <w:ind w:left="0"/>
        <w:jc w:val="both"/>
      </w:pPr>
      <w:r>
        <w:rPr>
          <w:rFonts w:ascii="Times New Roman"/>
          <w:b w:val="false"/>
          <w:i w:val="false"/>
          <w:color w:val="000000"/>
          <w:sz w:val="28"/>
        </w:rPr>
        <w:t xml:space="preserve">
      8) “e-government” gateway (EGG) – information system designated for integration of information systems of “e-government” within the framework of implementation of electronic services; </w:t>
      </w:r>
    </w:p>
    <w:p>
      <w:pPr>
        <w:spacing w:after="0"/>
        <w:ind w:left="0"/>
        <w:jc w:val="both"/>
      </w:pPr>
      <w:r>
        <w:rPr>
          <w:rFonts w:ascii="Times New Roman"/>
          <w:b w:val="false"/>
          <w:i w:val="false"/>
          <w:color w:val="000000"/>
          <w:sz w:val="28"/>
        </w:rPr>
        <w:t xml:space="preserve">
      9) uniform transportation system of state bodies (UTS of SB) – A telecommunications network located in the territory of the Republic of Kazakhstan, consisting of an interdepartmental information and communication network, designed to implement managerial and organizational goals and interact with each other of local governments, state bodies, including their territorial divisions and subordinate organizations, as well as ensure interaction electronic information resources and information systems of "e-government". </w:t>
      </w:r>
    </w:p>
    <w:p>
      <w:pPr>
        <w:spacing w:after="0"/>
        <w:ind w:left="0"/>
        <w:jc w:val="both"/>
      </w:pPr>
      <w:r>
        <w:rPr>
          <w:rFonts w:ascii="Times New Roman"/>
          <w:b w:val="false"/>
          <w:i w:val="false"/>
          <w:color w:val="000000"/>
          <w:sz w:val="28"/>
        </w:rPr>
        <w:t>
      3. The category of business entities shall be determined in accordance with the criteria and their threshold values specified in Article 24 of the Code, as well as the Rules for calculation of the average annual number of employees and average annual income of business entities, approved by the authorized entrepreneurship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Government of the Republic of Kazakhstan dated 17.07.2023 № 601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Data on business entities shall be processed by the registry in an automated mode and updated annually by December 15.</w:t>
      </w:r>
    </w:p>
    <w:p>
      <w:pPr>
        <w:spacing w:after="0"/>
        <w:ind w:left="0"/>
        <w:jc w:val="left"/>
      </w:pPr>
      <w:r>
        <w:rPr>
          <w:rFonts w:ascii="Times New Roman"/>
          <w:b/>
          <w:i w:val="false"/>
          <w:color w:val="000000"/>
        </w:rPr>
        <w:t xml:space="preserve"> 2. The maintenance of the register</w:t>
      </w:r>
    </w:p>
    <w:p>
      <w:pPr>
        <w:spacing w:after="0"/>
        <w:ind w:left="0"/>
        <w:jc w:val="both"/>
      </w:pPr>
      <w:r>
        <w:rPr>
          <w:rFonts w:ascii="Times New Roman"/>
          <w:b w:val="false"/>
          <w:i w:val="false"/>
          <w:color w:val="000000"/>
          <w:sz w:val="28"/>
        </w:rPr>
        <w:t xml:space="preserve">
      5. Initially, the generation of the register shall be carried out by the authorized body for entrepreneurship based on information, received through information interaction: </w:t>
      </w:r>
    </w:p>
    <w:p>
      <w:pPr>
        <w:spacing w:after="0"/>
        <w:ind w:left="0"/>
        <w:jc w:val="both"/>
      </w:pPr>
      <w:r>
        <w:rPr>
          <w:rFonts w:ascii="Times New Roman"/>
          <w:b w:val="false"/>
          <w:i w:val="false"/>
          <w:color w:val="000000"/>
          <w:sz w:val="28"/>
        </w:rPr>
        <w:t>
      1) State Revenue Committee of the Ministry of Finance of the Republic of Kazakhstan (hereinafter referred to as the SRC) shall provide the following information - about registered entrepreneurs:</w:t>
      </w:r>
    </w:p>
    <w:p>
      <w:pPr>
        <w:spacing w:after="0"/>
        <w:ind w:left="0"/>
        <w:jc w:val="both"/>
      </w:pPr>
      <w:r>
        <w:rPr>
          <w:rFonts w:ascii="Times New Roman"/>
          <w:b w:val="false"/>
          <w:i w:val="false"/>
          <w:color w:val="000000"/>
          <w:sz w:val="28"/>
        </w:rPr>
        <w:t>
      BIN of the entrepreneur; IIN of the entrepreneur;</w:t>
      </w:r>
    </w:p>
    <w:p>
      <w:pPr>
        <w:spacing w:after="0"/>
        <w:ind w:left="0"/>
        <w:jc w:val="both"/>
      </w:pPr>
      <w:r>
        <w:rPr>
          <w:rFonts w:ascii="Times New Roman"/>
          <w:b w:val="false"/>
          <w:i w:val="false"/>
          <w:color w:val="000000"/>
          <w:sz w:val="28"/>
        </w:rPr>
        <w:t>
      Data on income of the entrepreneur for the last three years in accordance with paragraph 6 of these Rules;</w:t>
      </w:r>
    </w:p>
    <w:p>
      <w:pPr>
        <w:spacing w:after="0"/>
        <w:ind w:left="0"/>
        <w:jc w:val="both"/>
      </w:pPr>
      <w:r>
        <w:rPr>
          <w:rFonts w:ascii="Times New Roman"/>
          <w:b w:val="false"/>
          <w:i w:val="false"/>
          <w:color w:val="000000"/>
          <w:sz w:val="28"/>
        </w:rPr>
        <w:t>
      Data on the number of employees of entrepreneurs for the last year in accordance with paragraph 6 of these Rules;</w:t>
      </w:r>
    </w:p>
    <w:p>
      <w:pPr>
        <w:spacing w:after="0"/>
        <w:ind w:left="0"/>
        <w:jc w:val="both"/>
      </w:pPr>
      <w:r>
        <w:rPr>
          <w:rFonts w:ascii="Times New Roman"/>
          <w:b w:val="false"/>
          <w:i w:val="false"/>
          <w:color w:val="000000"/>
          <w:sz w:val="28"/>
        </w:rPr>
        <w:t>
      2) the authorized state body for informatization  shall ensure the operation of the state electronic register of permits and notifications to obtain information about licenses for the following types of activities:</w:t>
      </w:r>
    </w:p>
    <w:p>
      <w:pPr>
        <w:spacing w:after="0"/>
        <w:ind w:left="0"/>
        <w:jc w:val="both"/>
      </w:pPr>
      <w:r>
        <w:rPr>
          <w:rFonts w:ascii="Times New Roman"/>
          <w:b w:val="false"/>
          <w:i w:val="false"/>
          <w:color w:val="000000"/>
          <w:sz w:val="28"/>
        </w:rPr>
        <w:t>
      activities related to the trafficking of narcotic drugs, psychotropic substances and precursors;</w:t>
      </w:r>
    </w:p>
    <w:p>
      <w:pPr>
        <w:spacing w:after="0"/>
        <w:ind w:left="0"/>
        <w:jc w:val="both"/>
      </w:pPr>
      <w:r>
        <w:rPr>
          <w:rFonts w:ascii="Times New Roman"/>
          <w:b w:val="false"/>
          <w:i w:val="false"/>
          <w:color w:val="000000"/>
          <w:sz w:val="28"/>
        </w:rPr>
        <w:t>
      production and (or) wholesale sale of excisable products;</w:t>
      </w:r>
    </w:p>
    <w:p>
      <w:pPr>
        <w:spacing w:after="0"/>
        <w:ind w:left="0"/>
        <w:jc w:val="both"/>
      </w:pPr>
      <w:r>
        <w:rPr>
          <w:rFonts w:ascii="Times New Roman"/>
          <w:b w:val="false"/>
          <w:i w:val="false"/>
          <w:color w:val="000000"/>
          <w:sz w:val="28"/>
        </w:rPr>
        <w:t>
      grain storage activities at grain collection points;</w:t>
      </w:r>
    </w:p>
    <w:p>
      <w:pPr>
        <w:spacing w:after="0"/>
        <w:ind w:left="0"/>
        <w:jc w:val="both"/>
      </w:pPr>
      <w:r>
        <w:rPr>
          <w:rFonts w:ascii="Times New Roman"/>
          <w:b w:val="false"/>
          <w:i w:val="false"/>
          <w:color w:val="000000"/>
          <w:sz w:val="28"/>
        </w:rPr>
        <w:t>
      holding a lottery;</w:t>
      </w:r>
    </w:p>
    <w:p>
      <w:pPr>
        <w:spacing w:after="0"/>
        <w:ind w:left="0"/>
        <w:jc w:val="both"/>
      </w:pPr>
      <w:r>
        <w:rPr>
          <w:rFonts w:ascii="Times New Roman"/>
          <w:b w:val="false"/>
          <w:i w:val="false"/>
          <w:color w:val="000000"/>
          <w:sz w:val="28"/>
        </w:rPr>
        <w:t>
      activities in gambling business;</w:t>
      </w:r>
    </w:p>
    <w:p>
      <w:pPr>
        <w:spacing w:after="0"/>
        <w:ind w:left="0"/>
        <w:jc w:val="both"/>
      </w:pPr>
      <w:r>
        <w:rPr>
          <w:rFonts w:ascii="Times New Roman"/>
          <w:b w:val="false"/>
          <w:i w:val="false"/>
          <w:color w:val="000000"/>
          <w:sz w:val="28"/>
        </w:rPr>
        <w:t>
      activities related to the circulation of radioactive materials;</w:t>
      </w:r>
    </w:p>
    <w:p>
      <w:pPr>
        <w:spacing w:after="0"/>
        <w:ind w:left="0"/>
        <w:jc w:val="both"/>
      </w:pPr>
      <w:r>
        <w:rPr>
          <w:rFonts w:ascii="Times New Roman"/>
          <w:b w:val="false"/>
          <w:i w:val="false"/>
          <w:color w:val="000000"/>
          <w:sz w:val="28"/>
        </w:rPr>
        <w:t>
      banking activities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auditing activities;</w:t>
      </w:r>
    </w:p>
    <w:p>
      <w:pPr>
        <w:spacing w:after="0"/>
        <w:ind w:left="0"/>
        <w:jc w:val="both"/>
      </w:pPr>
      <w:r>
        <w:rPr>
          <w:rFonts w:ascii="Times New Roman"/>
          <w:b w:val="false"/>
          <w:i w:val="false"/>
          <w:color w:val="000000"/>
          <w:sz w:val="28"/>
        </w:rPr>
        <w:t>
      professional activity in the securities market;</w:t>
      </w:r>
    </w:p>
    <w:p>
      <w:pPr>
        <w:spacing w:after="0"/>
        <w:ind w:left="0"/>
        <w:jc w:val="both"/>
      </w:pPr>
      <w:r>
        <w:rPr>
          <w:rFonts w:ascii="Times New Roman"/>
          <w:b w:val="false"/>
          <w:i w:val="false"/>
          <w:color w:val="000000"/>
          <w:sz w:val="28"/>
        </w:rPr>
        <w:t>
      activities of credit bureaus;</w:t>
      </w:r>
    </w:p>
    <w:p>
      <w:pPr>
        <w:spacing w:after="0"/>
        <w:ind w:left="0"/>
        <w:jc w:val="both"/>
      </w:pPr>
      <w:r>
        <w:rPr>
          <w:rFonts w:ascii="Times New Roman"/>
          <w:b w:val="false"/>
          <w:i w:val="false"/>
          <w:color w:val="000000"/>
          <w:sz w:val="28"/>
        </w:rPr>
        <w:t>
      security activities;</w:t>
      </w:r>
    </w:p>
    <w:p>
      <w:pPr>
        <w:spacing w:after="0"/>
        <w:ind w:left="0"/>
        <w:jc w:val="both"/>
      </w:pPr>
      <w:r>
        <w:rPr>
          <w:rFonts w:ascii="Times New Roman"/>
          <w:b w:val="false"/>
          <w:i w:val="false"/>
          <w:color w:val="000000"/>
          <w:sz w:val="28"/>
        </w:rPr>
        <w:t>
      activities related to the circulation of civilian, service weapons and ammunition for them;</w:t>
      </w:r>
    </w:p>
    <w:p>
      <w:pPr>
        <w:spacing w:after="0"/>
        <w:ind w:left="0"/>
        <w:jc w:val="both"/>
      </w:pPr>
      <w:r>
        <w:rPr>
          <w:rFonts w:ascii="Times New Roman"/>
          <w:b w:val="false"/>
          <w:i w:val="false"/>
          <w:color w:val="000000"/>
          <w:sz w:val="28"/>
        </w:rPr>
        <w:t>
      digital mining activities of subtype I;</w:t>
      </w:r>
    </w:p>
    <w:p>
      <w:pPr>
        <w:spacing w:after="0"/>
        <w:ind w:left="0"/>
        <w:jc w:val="both"/>
      </w:pPr>
      <w:r>
        <w:rPr>
          <w:rFonts w:ascii="Times New Roman"/>
          <w:b w:val="false"/>
          <w:i w:val="false"/>
          <w:color w:val="000000"/>
          <w:sz w:val="28"/>
        </w:rPr>
        <w:t xml:space="preserve">
      3) the authorized body in the sphere of state registration of legal entities shall provide information in accordance with the procedure, established by paragraphs 11 to 15 of these Rules, about all registered and liquidated entrepreneurs, in particular: </w:t>
      </w:r>
    </w:p>
    <w:p>
      <w:pPr>
        <w:spacing w:after="0"/>
        <w:ind w:left="0"/>
        <w:jc w:val="both"/>
      </w:pPr>
      <w:r>
        <w:rPr>
          <w:rFonts w:ascii="Times New Roman"/>
          <w:b w:val="false"/>
          <w:i w:val="false"/>
          <w:color w:val="000000"/>
          <w:sz w:val="28"/>
        </w:rPr>
        <w:t>
      BIN of a legal entity;</w:t>
      </w:r>
    </w:p>
    <w:p>
      <w:pPr>
        <w:spacing w:after="0"/>
        <w:ind w:left="0"/>
        <w:jc w:val="both"/>
      </w:pPr>
      <w:r>
        <w:rPr>
          <w:rFonts w:ascii="Times New Roman"/>
          <w:b w:val="false"/>
          <w:i w:val="false"/>
          <w:color w:val="000000"/>
          <w:sz w:val="28"/>
        </w:rPr>
        <w:t>
      Name of a legal entity;</w:t>
      </w:r>
    </w:p>
    <w:p>
      <w:pPr>
        <w:spacing w:after="0"/>
        <w:ind w:left="0"/>
        <w:jc w:val="both"/>
      </w:pPr>
      <w:r>
        <w:rPr>
          <w:rFonts w:ascii="Times New Roman"/>
          <w:b w:val="false"/>
          <w:i w:val="false"/>
          <w:color w:val="000000"/>
          <w:sz w:val="28"/>
        </w:rPr>
        <w:t>
      organizational and legal form of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decree of the Government of the Republic of Kazakhstan dated August 11, 2016 № 455 (takes effect upon expiry of ten calendar days from the date of its first official publication); dated 17.07.2023 № 601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the subsequent maintenance of the register, the SRC shall annually, within the period until November 15 shall submit to the authorized body for entrepreneurship the following information:</w:t>
      </w:r>
    </w:p>
    <w:p>
      <w:pPr>
        <w:spacing w:after="0"/>
        <w:ind w:left="0"/>
        <w:jc w:val="both"/>
      </w:pPr>
      <w:r>
        <w:rPr>
          <w:rFonts w:ascii="Times New Roman"/>
          <w:b w:val="false"/>
          <w:i w:val="false"/>
          <w:color w:val="000000"/>
          <w:sz w:val="28"/>
        </w:rPr>
        <w:t>
      1) data on the amount of total annual income for the previous calendar year (including for entities operating under special tax regimes);</w:t>
      </w:r>
    </w:p>
    <w:p>
      <w:pPr>
        <w:spacing w:after="0"/>
        <w:ind w:left="0"/>
        <w:jc w:val="both"/>
      </w:pPr>
      <w:r>
        <w:rPr>
          <w:rFonts w:ascii="Times New Roman"/>
          <w:b w:val="false"/>
          <w:i w:val="false"/>
          <w:color w:val="000000"/>
          <w:sz w:val="28"/>
        </w:rPr>
        <w:t>
      2) data on the number of employees for the previous calendar year.</w:t>
      </w:r>
    </w:p>
    <w:p>
      <w:pPr>
        <w:spacing w:after="0"/>
        <w:ind w:left="0"/>
        <w:jc w:val="both"/>
      </w:pPr>
      <w:r>
        <w:rPr>
          <w:rFonts w:ascii="Times New Roman"/>
          <w:b w:val="false"/>
          <w:i w:val="false"/>
          <w:color w:val="000000"/>
          <w:sz w:val="28"/>
        </w:rPr>
        <w:t>
      The specified information shall be generated on the basis of tax reporting data submitted by entrepreneurs to the tax authorities in accordance with tax legislation.</w:t>
      </w:r>
    </w:p>
    <w:p>
      <w:pPr>
        <w:spacing w:after="0"/>
        <w:ind w:left="0"/>
        <w:jc w:val="both"/>
      </w:pPr>
      <w:r>
        <w:rPr>
          <w:rFonts w:ascii="Times New Roman"/>
          <w:b w:val="false"/>
          <w:i w:val="false"/>
          <w:color w:val="000000"/>
          <w:sz w:val="28"/>
        </w:rPr>
        <w:t>
      7. Amendments to the register shall be made in the following cases:</w:t>
      </w:r>
    </w:p>
    <w:p>
      <w:pPr>
        <w:spacing w:after="0"/>
        <w:ind w:left="0"/>
        <w:jc w:val="both"/>
      </w:pPr>
      <w:r>
        <w:rPr>
          <w:rFonts w:ascii="Times New Roman"/>
          <w:b w:val="false"/>
          <w:i w:val="false"/>
          <w:color w:val="000000"/>
          <w:sz w:val="28"/>
        </w:rPr>
        <w:t xml:space="preserve">
      1) satisfaction in accordance with paragraph 9 of these Rules of the request of an entrepreneur on changing the category due to a mistake in the information of the SRC. </w:t>
      </w:r>
    </w:p>
    <w:p>
      <w:pPr>
        <w:spacing w:after="0"/>
        <w:ind w:left="0"/>
        <w:jc w:val="both"/>
      </w:pPr>
      <w:r>
        <w:rPr>
          <w:rFonts w:ascii="Times New Roman"/>
          <w:b w:val="false"/>
          <w:i w:val="false"/>
          <w:color w:val="000000"/>
          <w:sz w:val="28"/>
        </w:rPr>
        <w:t>
      In addition, the mistake in the information shall be the submission by the SRC of information to the authorized body for entrepreneurship, not complying with the data of tax reporting, submitted by the tax payer before sending it. Changing information about taxpayers in connection with submission by them of additional tax declarations after November 15 of the corresponding year shall not be a mistake;</w:t>
      </w:r>
    </w:p>
    <w:p>
      <w:pPr>
        <w:spacing w:after="0"/>
        <w:ind w:left="0"/>
        <w:jc w:val="both"/>
      </w:pPr>
      <w:r>
        <w:rPr>
          <w:rFonts w:ascii="Times New Roman"/>
          <w:b w:val="false"/>
          <w:i w:val="false"/>
          <w:color w:val="000000"/>
          <w:sz w:val="28"/>
        </w:rPr>
        <w:t>
      2) request of the SRC on amending the data specified in paragraph 6 of these Rules, by results of tax inspections, with which the taxpayers have agreed or correctness of which have been confirmed by the court.</w:t>
      </w:r>
    </w:p>
    <w:p>
      <w:pPr>
        <w:spacing w:after="0"/>
        <w:ind w:left="0"/>
        <w:jc w:val="both"/>
      </w:pPr>
      <w:r>
        <w:rPr>
          <w:rFonts w:ascii="Times New Roman"/>
          <w:b w:val="false"/>
          <w:i w:val="false"/>
          <w:color w:val="000000"/>
          <w:sz w:val="28"/>
        </w:rPr>
        <w:t xml:space="preserve">
      8. The category of the entrepreneur shall be revised within the time limits established by paragraph 4 of these Rules, and shall not be subject to amendment except for cases, stipulated by paragraph 7 of these Rules. </w:t>
      </w:r>
    </w:p>
    <w:p>
      <w:pPr>
        <w:spacing w:after="0"/>
        <w:ind w:left="0"/>
        <w:jc w:val="both"/>
      </w:pPr>
      <w:r>
        <w:rPr>
          <w:rFonts w:ascii="Times New Roman"/>
          <w:b w:val="false"/>
          <w:i w:val="false"/>
          <w:color w:val="000000"/>
          <w:sz w:val="28"/>
        </w:rPr>
        <w:t xml:space="preserve">
      9. Making amendments in accordance with paragraph 7 of these Rules shall be made in accordance with the following procedure: </w:t>
      </w:r>
    </w:p>
    <w:p>
      <w:pPr>
        <w:spacing w:after="0"/>
        <w:ind w:left="0"/>
        <w:jc w:val="both"/>
      </w:pPr>
      <w:r>
        <w:rPr>
          <w:rFonts w:ascii="Times New Roman"/>
          <w:b w:val="false"/>
          <w:i w:val="false"/>
          <w:color w:val="000000"/>
          <w:sz w:val="28"/>
        </w:rPr>
        <w:t xml:space="preserve">
      1) entrepreneurs shall initiate before the authorized body for entrepreneurship the issue on improper determination of their category in writing with the obligatory attachment of copies of supporting documents; </w:t>
      </w:r>
    </w:p>
    <w:p>
      <w:pPr>
        <w:spacing w:after="0"/>
        <w:ind w:left="0"/>
        <w:jc w:val="both"/>
      </w:pPr>
      <w:r>
        <w:rPr>
          <w:rFonts w:ascii="Times New Roman"/>
          <w:b w:val="false"/>
          <w:i w:val="false"/>
          <w:color w:val="000000"/>
          <w:sz w:val="28"/>
        </w:rPr>
        <w:t xml:space="preserve">
      2) the authorized body for entrepreneurship within two working days shall send the data of the request for consideration to the SRC; </w:t>
      </w:r>
    </w:p>
    <w:p>
      <w:pPr>
        <w:spacing w:after="0"/>
        <w:ind w:left="0"/>
        <w:jc w:val="both"/>
      </w:pPr>
      <w:r>
        <w:rPr>
          <w:rFonts w:ascii="Times New Roman"/>
          <w:b w:val="false"/>
          <w:i w:val="false"/>
          <w:color w:val="000000"/>
          <w:sz w:val="28"/>
        </w:rPr>
        <w:t xml:space="preserve">
      3) SRC shall consider the data of the request on the subject of validity and shall submit the corresponding response to the authorized body for entrepreneurship within ten working days; </w:t>
      </w:r>
    </w:p>
    <w:p>
      <w:pPr>
        <w:spacing w:after="0"/>
        <w:ind w:left="0"/>
        <w:jc w:val="both"/>
      </w:pPr>
      <w:r>
        <w:rPr>
          <w:rFonts w:ascii="Times New Roman"/>
          <w:b w:val="false"/>
          <w:i w:val="false"/>
          <w:color w:val="000000"/>
          <w:sz w:val="28"/>
        </w:rPr>
        <w:t>
      4) The authorized body for entrepreneurship:</w:t>
      </w:r>
    </w:p>
    <w:p>
      <w:pPr>
        <w:spacing w:after="0"/>
        <w:ind w:left="0"/>
        <w:jc w:val="both"/>
      </w:pPr>
      <w:r>
        <w:rPr>
          <w:rFonts w:ascii="Times New Roman"/>
          <w:b w:val="false"/>
          <w:i w:val="false"/>
          <w:color w:val="000000"/>
          <w:sz w:val="28"/>
        </w:rPr>
        <w:t>
      in case of receiving a response on the validity of the request of the entrepreneur, within three working days, shall make the appropriate changes to the registry and shall recalculate the category;</w:t>
      </w:r>
    </w:p>
    <w:p>
      <w:pPr>
        <w:spacing w:after="0"/>
        <w:ind w:left="0"/>
        <w:jc w:val="both"/>
      </w:pPr>
      <w:r>
        <w:rPr>
          <w:rFonts w:ascii="Times New Roman"/>
          <w:b w:val="false"/>
          <w:i w:val="false"/>
          <w:color w:val="000000"/>
          <w:sz w:val="28"/>
        </w:rPr>
        <w:t>
      in case of receiving a response on the groundlessness of the request of an entrepreneur, shall refuse to amend the registry</w:t>
      </w:r>
    </w:p>
    <w:p>
      <w:pPr>
        <w:spacing w:after="0"/>
        <w:ind w:left="0"/>
        <w:jc w:val="both"/>
      </w:pPr>
      <w:r>
        <w:rPr>
          <w:rFonts w:ascii="Times New Roman"/>
          <w:b w:val="false"/>
          <w:i w:val="false"/>
          <w:color w:val="000000"/>
          <w:sz w:val="28"/>
        </w:rPr>
        <w:t>
      in case of receiving a response from SRC that the mistake was made by the business entity itself when submitting tax reports to the tax authorities, shall make changes to the register in accordance with paragraph 4 of these Rules.</w:t>
      </w:r>
    </w:p>
    <w:p>
      <w:pPr>
        <w:spacing w:after="0"/>
        <w:ind w:left="0"/>
        <w:jc w:val="both"/>
      </w:pPr>
      <w:r>
        <w:rPr>
          <w:rFonts w:ascii="Times New Roman"/>
          <w:b w:val="false"/>
          <w:i w:val="false"/>
          <w:color w:val="000000"/>
          <w:sz w:val="28"/>
        </w:rPr>
        <w:t>
      10. The authorized body for entrepreneurship shall inform the entrepreneur on results of consideration of the request.</w:t>
      </w:r>
    </w:p>
    <w:p>
      <w:pPr>
        <w:spacing w:after="0"/>
        <w:ind w:left="0"/>
        <w:jc w:val="both"/>
      </w:pPr>
      <w:r>
        <w:rPr>
          <w:rFonts w:ascii="Times New Roman"/>
          <w:b w:val="false"/>
          <w:i w:val="false"/>
          <w:color w:val="000000"/>
          <w:sz w:val="28"/>
        </w:rPr>
        <w:t>
      The total period for consideration of requests of business entities shall be 15 working days from the date of registration of the request in the authorized body for entrepreneurship.</w:t>
      </w:r>
    </w:p>
    <w:p>
      <w:pPr>
        <w:spacing w:after="0"/>
        <w:ind w:left="0"/>
        <w:jc w:val="both"/>
      </w:pPr>
      <w:r>
        <w:rPr>
          <w:rFonts w:ascii="Times New Roman"/>
          <w:b w:val="false"/>
          <w:i w:val="false"/>
          <w:color w:val="000000"/>
          <w:sz w:val="28"/>
        </w:rPr>
        <w:t>
      11. Information interaction shall be carried out at the cross-server republican level through EGG on the basis of technical requirements approved by the responsible heads of the state body agreed with the authorized body in the field of informatization.</w:t>
      </w:r>
    </w:p>
    <w:p>
      <w:pPr>
        <w:spacing w:after="0"/>
        <w:ind w:left="0"/>
        <w:jc w:val="both"/>
      </w:pPr>
      <w:r>
        <w:rPr>
          <w:rFonts w:ascii="Times New Roman"/>
          <w:b w:val="false"/>
          <w:i w:val="false"/>
          <w:color w:val="000000"/>
          <w:sz w:val="28"/>
        </w:rPr>
        <w:t>
      12. The information exchange shall be carried out by means of electronic messages in a request-response mode using EDS issued by the NCA.</w:t>
      </w:r>
    </w:p>
    <w:p>
      <w:pPr>
        <w:spacing w:after="0"/>
        <w:ind w:left="0"/>
        <w:jc w:val="both"/>
      </w:pPr>
      <w:r>
        <w:rPr>
          <w:rFonts w:ascii="Times New Roman"/>
          <w:b w:val="false"/>
          <w:i w:val="false"/>
          <w:color w:val="000000"/>
          <w:sz w:val="28"/>
        </w:rPr>
        <w:t xml:space="preserve">
      13. The types and composition of the fields of electronic messages shall be approved by the participants of information exchange in technical requirements. </w:t>
      </w:r>
    </w:p>
    <w:p>
      <w:pPr>
        <w:spacing w:after="0"/>
        <w:ind w:left="0"/>
        <w:jc w:val="both"/>
      </w:pPr>
      <w:r>
        <w:rPr>
          <w:rFonts w:ascii="Times New Roman"/>
          <w:b w:val="false"/>
          <w:i w:val="false"/>
          <w:color w:val="000000"/>
          <w:sz w:val="28"/>
        </w:rPr>
        <w:t xml:space="preserve">
      14. Information exchange participants shall provide access to interaction services 24 hours a day, with the exception of technological interruptions in the operation of information systems. </w:t>
      </w:r>
    </w:p>
    <w:p>
      <w:pPr>
        <w:spacing w:after="0"/>
        <w:ind w:left="0"/>
        <w:jc w:val="both"/>
      </w:pPr>
      <w:r>
        <w:rPr>
          <w:rFonts w:ascii="Times New Roman"/>
          <w:b w:val="false"/>
          <w:i w:val="false"/>
          <w:color w:val="000000"/>
          <w:sz w:val="28"/>
        </w:rPr>
        <w:t xml:space="preserve">
      15. Information protection during information exchange should be ensured both through using a secure UTS of SB, as well as confirmation of authorship (application of EDS), signed XML messages, as well as technical and organizational measures. </w:t>
      </w:r>
    </w:p>
    <w:p>
      <w:pPr>
        <w:spacing w:after="0"/>
        <w:ind w:left="0"/>
        <w:jc w:val="left"/>
      </w:pPr>
      <w:r>
        <w:rPr>
          <w:rFonts w:ascii="Times New Roman"/>
          <w:b/>
          <w:i w:val="false"/>
          <w:color w:val="000000"/>
        </w:rPr>
        <w:t xml:space="preserve"> 3. Using the register</w:t>
      </w:r>
    </w:p>
    <w:p>
      <w:pPr>
        <w:spacing w:after="0"/>
        <w:ind w:left="0"/>
        <w:jc w:val="both"/>
      </w:pPr>
      <w:r>
        <w:rPr>
          <w:rFonts w:ascii="Times New Roman"/>
          <w:b w:val="false"/>
          <w:i w:val="false"/>
          <w:color w:val="000000"/>
          <w:sz w:val="28"/>
        </w:rPr>
        <w:t>
      16. The register is the main source of data on the categories of entrepreneurs for any concerned persons, including state bodies.</w:t>
      </w:r>
    </w:p>
    <w:p>
      <w:pPr>
        <w:spacing w:after="0"/>
        <w:ind w:left="0"/>
        <w:jc w:val="both"/>
      </w:pPr>
      <w:r>
        <w:rPr>
          <w:rFonts w:ascii="Times New Roman"/>
          <w:b w:val="false"/>
          <w:i w:val="false"/>
          <w:color w:val="000000"/>
          <w:sz w:val="28"/>
        </w:rPr>
        <w:t xml:space="preserve">
      17. The following information about every entrepreneur shall be available in the register for the concerned persons: </w:t>
      </w:r>
    </w:p>
    <w:p>
      <w:pPr>
        <w:spacing w:after="0"/>
        <w:ind w:left="0"/>
        <w:jc w:val="both"/>
      </w:pPr>
      <w:r>
        <w:rPr>
          <w:rFonts w:ascii="Times New Roman"/>
          <w:b w:val="false"/>
          <w:i w:val="false"/>
          <w:color w:val="000000"/>
          <w:sz w:val="28"/>
        </w:rPr>
        <w:t>
      1) about legal entities:</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organizational-legal form; category (large, medium, small, including micro-entrepreneurship);</w:t>
      </w:r>
    </w:p>
    <w:p>
      <w:pPr>
        <w:spacing w:after="0"/>
        <w:ind w:left="0"/>
        <w:jc w:val="both"/>
      </w:pPr>
      <w:r>
        <w:rPr>
          <w:rFonts w:ascii="Times New Roman"/>
          <w:b w:val="false"/>
          <w:i w:val="false"/>
          <w:color w:val="000000"/>
          <w:sz w:val="28"/>
        </w:rPr>
        <w:t>
      type of activity in accordance with subparagraph 2) of paragraph 5 of these Rules;</w:t>
      </w:r>
    </w:p>
    <w:p>
      <w:pPr>
        <w:spacing w:after="0"/>
        <w:ind w:left="0"/>
        <w:jc w:val="both"/>
      </w:pPr>
      <w:r>
        <w:rPr>
          <w:rFonts w:ascii="Times New Roman"/>
          <w:b w:val="false"/>
          <w:i w:val="false"/>
          <w:color w:val="000000"/>
          <w:sz w:val="28"/>
        </w:rPr>
        <w:t xml:space="preserve">
      2) on individual entrepreneurs: </w:t>
      </w:r>
    </w:p>
    <w:p>
      <w:pPr>
        <w:spacing w:after="0"/>
        <w:ind w:left="0"/>
        <w:jc w:val="both"/>
      </w:pPr>
      <w:r>
        <w:rPr>
          <w:rFonts w:ascii="Times New Roman"/>
          <w:b w:val="false"/>
          <w:i w:val="false"/>
          <w:color w:val="000000"/>
          <w:sz w:val="28"/>
        </w:rPr>
        <w:t>
      IIN;</w:t>
      </w:r>
    </w:p>
    <w:p>
      <w:pPr>
        <w:spacing w:after="0"/>
        <w:ind w:left="0"/>
        <w:jc w:val="both"/>
      </w:pPr>
      <w:r>
        <w:rPr>
          <w:rFonts w:ascii="Times New Roman"/>
          <w:b w:val="false"/>
          <w:i w:val="false"/>
          <w:color w:val="000000"/>
          <w:sz w:val="28"/>
        </w:rPr>
        <w:t>
      surname, first name and patronymic (if any) and (or) name of an individual entrepreneur;</w:t>
      </w:r>
    </w:p>
    <w:p>
      <w:pPr>
        <w:spacing w:after="0"/>
        <w:ind w:left="0"/>
        <w:jc w:val="both"/>
      </w:pPr>
      <w:r>
        <w:rPr>
          <w:rFonts w:ascii="Times New Roman"/>
          <w:b w:val="false"/>
          <w:i w:val="false"/>
          <w:color w:val="000000"/>
          <w:sz w:val="28"/>
        </w:rPr>
        <w:t>
      presence or absence of joint venture status;</w:t>
      </w:r>
    </w:p>
    <w:p>
      <w:pPr>
        <w:spacing w:after="0"/>
        <w:ind w:left="0"/>
        <w:jc w:val="both"/>
      </w:pPr>
      <w:r>
        <w:rPr>
          <w:rFonts w:ascii="Times New Roman"/>
          <w:b w:val="false"/>
          <w:i w:val="false"/>
          <w:color w:val="000000"/>
          <w:sz w:val="28"/>
        </w:rPr>
        <w:t>
      category (large, medium, small, including microentrepreneurship);</w:t>
      </w:r>
    </w:p>
    <w:p>
      <w:pPr>
        <w:spacing w:after="0"/>
        <w:ind w:left="0"/>
        <w:jc w:val="both"/>
      </w:pPr>
      <w:r>
        <w:rPr>
          <w:rFonts w:ascii="Times New Roman"/>
          <w:b w:val="false"/>
          <w:i w:val="false"/>
          <w:color w:val="000000"/>
          <w:sz w:val="28"/>
        </w:rPr>
        <w:t>
      type of activity in accordance with subparagraph 2) of paragraph 5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Resolution of the Government of the Republic of Kazakhstan dated 17.07.2023 № 601 (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Business entities shall be searched in the register by:</w:t>
      </w:r>
    </w:p>
    <w:p>
      <w:pPr>
        <w:spacing w:after="0"/>
        <w:ind w:left="0"/>
        <w:jc w:val="both"/>
      </w:pPr>
      <w:r>
        <w:rPr>
          <w:rFonts w:ascii="Times New Roman"/>
          <w:b w:val="false"/>
          <w:i w:val="false"/>
          <w:color w:val="000000"/>
          <w:sz w:val="28"/>
        </w:rPr>
        <w:t xml:space="preserve">
      1) BIN or IIN; </w:t>
      </w:r>
    </w:p>
    <w:p>
      <w:pPr>
        <w:spacing w:after="0"/>
        <w:ind w:left="0"/>
        <w:jc w:val="both"/>
      </w:pPr>
      <w:r>
        <w:rPr>
          <w:rFonts w:ascii="Times New Roman"/>
          <w:b w:val="false"/>
          <w:i w:val="false"/>
          <w:color w:val="000000"/>
          <w:sz w:val="28"/>
        </w:rPr>
        <w:t>
      2) name and organizational-legal form of a legal entity;</w:t>
      </w:r>
    </w:p>
    <w:p>
      <w:pPr>
        <w:spacing w:after="0"/>
        <w:ind w:left="0"/>
        <w:jc w:val="both"/>
      </w:pPr>
      <w:r>
        <w:rPr>
          <w:rFonts w:ascii="Times New Roman"/>
          <w:b w:val="false"/>
          <w:i w:val="false"/>
          <w:color w:val="000000"/>
          <w:sz w:val="28"/>
        </w:rPr>
        <w:t>
      3) surname, first name and patronymic (if any) and (or) name of the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Resolution of the Government of the Republic of Kazakhstan dated 17.07.2023 № 601 (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information on the category of a business entity shall be provided to the concerned parties, including state bodies in the form of an electronic document certified by EDS, for use in work.</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