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cc214" w14:textId="a1cc2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development and approval of the annual report on the state of business regulation in the Republic of Kazakhstan</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December 31, 2015 No. 1149. Abolished by the Decree of the Government of the Republic of Kazakhstan dated 07/17/2023 No. 603</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Abolished by the Decree of the Government of the Republic of Kazakhstan dated 07/17/2023 No. 603 (effective after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Takes effect from January 1, 2016.</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In accordance with subparagraph 3) of paragraph 1 of article 84 of the Entrepreneur Code of the Republic of Kazakhstan dated October 29, 2015 the Government of the Republic of Kazakhstan HEREBY DECREES:</w:t>
      </w:r>
    </w:p>
    <w:bookmarkStart w:name="z3" w:id="0"/>
    <w:p>
      <w:pPr>
        <w:spacing w:after="0"/>
        <w:ind w:left="0"/>
        <w:jc w:val="both"/>
      </w:pPr>
      <w:r>
        <w:rPr>
          <w:rFonts w:ascii="Times New Roman"/>
          <w:b w:val="false"/>
          <w:i w:val="false"/>
          <w:color w:val="000000"/>
          <w:sz w:val="28"/>
        </w:rPr>
        <w:t xml:space="preserve">
      1. To approve the attached Rules for the development and approval of the annual report on the state of business regulation in the Republic of Kazakhstan. </w:t>
      </w:r>
    </w:p>
    <w:bookmarkEnd w:id="0"/>
    <w:bookmarkStart w:name="z4" w:id="1"/>
    <w:p>
      <w:pPr>
        <w:spacing w:after="0"/>
        <w:ind w:left="0"/>
        <w:jc w:val="both"/>
      </w:pPr>
      <w:r>
        <w:rPr>
          <w:rFonts w:ascii="Times New Roman"/>
          <w:b w:val="false"/>
          <w:i w:val="false"/>
          <w:color w:val="000000"/>
          <w:sz w:val="28"/>
        </w:rPr>
        <w:t>
      2. This decree takes effect from January 1, 2016 and is subject to the official publication.</w:t>
      </w:r>
    </w:p>
    <w:bookmarkEnd w:id="1"/>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by decree of the Government</w:t>
            </w:r>
            <w:r>
              <w:br/>
            </w:r>
            <w:r>
              <w:rPr>
                <w:rFonts w:ascii="Times New Roman"/>
                <w:b w:val="false"/>
                <w:i w:val="false"/>
                <w:color w:val="000000"/>
                <w:sz w:val="20"/>
              </w:rPr>
              <w:t>of the Republic of Kazakhstan</w:t>
            </w:r>
            <w:r>
              <w:br/>
            </w:r>
            <w:r>
              <w:rPr>
                <w:rFonts w:ascii="Times New Roman"/>
                <w:b w:val="false"/>
                <w:i w:val="false"/>
                <w:color w:val="000000"/>
                <w:sz w:val="20"/>
              </w:rPr>
              <w:t>dated December 31,2015 no.1149</w:t>
            </w:r>
          </w:p>
        </w:tc>
      </w:tr>
    </w:tbl>
    <w:bookmarkStart w:name="z6" w:id="2"/>
    <w:p>
      <w:pPr>
        <w:spacing w:after="0"/>
        <w:ind w:left="0"/>
        <w:jc w:val="left"/>
      </w:pPr>
      <w:r>
        <w:rPr>
          <w:rFonts w:ascii="Times New Roman"/>
          <w:b/>
          <w:i w:val="false"/>
          <w:color w:val="000000"/>
        </w:rPr>
        <w:t xml:space="preserve"> Rules for the development and approval of the annual report on the state of business</w:t>
      </w:r>
      <w:r>
        <w:br/>
      </w:r>
      <w:r>
        <w:rPr>
          <w:rFonts w:ascii="Times New Roman"/>
          <w:b/>
          <w:i w:val="false"/>
          <w:color w:val="000000"/>
        </w:rPr>
        <w:t>regulation in the Republic of Kazakhstan</w:t>
      </w:r>
    </w:p>
    <w:bookmarkEnd w:id="2"/>
    <w:p>
      <w:pPr>
        <w:spacing w:after="0"/>
        <w:ind w:left="0"/>
        <w:jc w:val="both"/>
      </w:pPr>
      <w:r>
        <w:rPr>
          <w:rFonts w:ascii="Times New Roman"/>
          <w:b w:val="false"/>
          <w:i w:val="false"/>
          <w:color w:val="ff0000"/>
          <w:sz w:val="28"/>
        </w:rPr>
        <w:t>
      Footnote. The Rules as amended by the decree of the Government of the Republic of Kazakhstan dated November 09, 2018 no. 735 (takes effect upon the expiry of ten calendar days from the day of its first official publication).</w:t>
      </w:r>
    </w:p>
    <w:bookmarkStart w:name="z7" w:id="3"/>
    <w:p>
      <w:pPr>
        <w:spacing w:after="0"/>
        <w:ind w:left="0"/>
        <w:jc w:val="left"/>
      </w:pPr>
      <w:r>
        <w:rPr>
          <w:rFonts w:ascii="Times New Roman"/>
          <w:b/>
          <w:i w:val="false"/>
          <w:color w:val="000000"/>
        </w:rPr>
        <w:t xml:space="preserve"> Chapter 1. General provisions</w:t>
      </w:r>
    </w:p>
    <w:bookmarkEnd w:id="3"/>
    <w:bookmarkStart w:name="z8" w:id="4"/>
    <w:p>
      <w:pPr>
        <w:spacing w:after="0"/>
        <w:ind w:left="0"/>
        <w:jc w:val="both"/>
      </w:pPr>
      <w:r>
        <w:rPr>
          <w:rFonts w:ascii="Times New Roman"/>
          <w:b w:val="false"/>
          <w:i w:val="false"/>
          <w:color w:val="000000"/>
          <w:sz w:val="28"/>
        </w:rPr>
        <w:t>
      1. These Rules for the development and approval of the annual report on the state of business regulation in the Republic of Kazakhstan (hereinafter referred to as the Rules) have been developed in accordance with subparagraph 3) of paragraph 1 of article 84 of the Entrepreneur Code of the Republic of Kazakhstan dated October 29, 2015, and shall establish the procedure for preparation and approval of the annual report on the state of business regulation in the Republic of Kazakhstan.</w:t>
      </w:r>
    </w:p>
    <w:bookmarkEnd w:id="4"/>
    <w:bookmarkStart w:name="z9" w:id="5"/>
    <w:p>
      <w:pPr>
        <w:spacing w:after="0"/>
        <w:ind w:left="0"/>
        <w:jc w:val="both"/>
      </w:pPr>
      <w:r>
        <w:rPr>
          <w:rFonts w:ascii="Times New Roman"/>
          <w:b w:val="false"/>
          <w:i w:val="false"/>
          <w:color w:val="000000"/>
          <w:sz w:val="28"/>
        </w:rPr>
        <w:t>
      2. These Rules shall use the following definitions:</w:t>
      </w:r>
    </w:p>
    <w:bookmarkEnd w:id="5"/>
    <w:bookmarkStart w:name="z10" w:id="6"/>
    <w:p>
      <w:pPr>
        <w:spacing w:after="0"/>
        <w:ind w:left="0"/>
        <w:jc w:val="both"/>
      </w:pPr>
      <w:r>
        <w:rPr>
          <w:rFonts w:ascii="Times New Roman"/>
          <w:b w:val="false"/>
          <w:i w:val="false"/>
          <w:color w:val="000000"/>
          <w:sz w:val="28"/>
        </w:rPr>
        <w:t>
      1) the authorized body for business – a state body carrying out management and cross-sectoral coordination in the field of business development and support (hereinafter referred to as the authorized body);</w:t>
      </w:r>
    </w:p>
    <w:bookmarkEnd w:id="6"/>
    <w:bookmarkStart w:name="z11" w:id="7"/>
    <w:p>
      <w:pPr>
        <w:spacing w:after="0"/>
        <w:ind w:left="0"/>
        <w:jc w:val="both"/>
      </w:pPr>
      <w:r>
        <w:rPr>
          <w:rFonts w:ascii="Times New Roman"/>
          <w:b w:val="false"/>
          <w:i w:val="false"/>
          <w:color w:val="000000"/>
          <w:sz w:val="28"/>
        </w:rPr>
        <w:t>
      2) the report on the state of business regulation (hereinafter referred to as the report) – a report prepared by the regulating state body carrying out management in the correspondent spheres of state management;</w:t>
      </w:r>
    </w:p>
    <w:bookmarkEnd w:id="7"/>
    <w:bookmarkStart w:name="z12" w:id="8"/>
    <w:p>
      <w:pPr>
        <w:spacing w:after="0"/>
        <w:ind w:left="0"/>
        <w:jc w:val="both"/>
      </w:pPr>
      <w:r>
        <w:rPr>
          <w:rFonts w:ascii="Times New Roman"/>
          <w:b w:val="false"/>
          <w:i w:val="false"/>
          <w:color w:val="000000"/>
          <w:sz w:val="28"/>
        </w:rPr>
        <w:t>
      3) the annual report on the state of business regulation in the Republic of Kazakhstan (hereinafter referred to as the annual report) – a report prepared by the authorized body;</w:t>
      </w:r>
    </w:p>
    <w:bookmarkEnd w:id="8"/>
    <w:bookmarkStart w:name="z13" w:id="9"/>
    <w:p>
      <w:pPr>
        <w:spacing w:after="0"/>
        <w:ind w:left="0"/>
        <w:jc w:val="both"/>
      </w:pPr>
      <w:r>
        <w:rPr>
          <w:rFonts w:ascii="Times New Roman"/>
          <w:b w:val="false"/>
          <w:i w:val="false"/>
          <w:color w:val="000000"/>
          <w:sz w:val="28"/>
        </w:rPr>
        <w:t>
      4) the report on the state of regulatory impact analysis (hereinafter referred to as the report on RIA) – a report prepared by the local executive body of a region, cities of republican significance, capital, carrying out management in the field of business;</w:t>
      </w:r>
    </w:p>
    <w:bookmarkEnd w:id="9"/>
    <w:bookmarkStart w:name="z14" w:id="10"/>
    <w:p>
      <w:pPr>
        <w:spacing w:after="0"/>
        <w:ind w:left="0"/>
        <w:jc w:val="both"/>
      </w:pPr>
      <w:r>
        <w:rPr>
          <w:rFonts w:ascii="Times New Roman"/>
          <w:b w:val="false"/>
          <w:i w:val="false"/>
          <w:color w:val="000000"/>
          <w:sz w:val="28"/>
        </w:rPr>
        <w:t>
      5) regulating state bodies – state bodies, carrying out management in a separate branch or are of state management, in which the state control and supervision are carried out, regulatory instruments have been enforced or is planned for enforcement.</w:t>
      </w:r>
    </w:p>
    <w:bookmarkEnd w:id="10"/>
    <w:bookmarkStart w:name="z15" w:id="11"/>
    <w:p>
      <w:pPr>
        <w:spacing w:after="0"/>
        <w:ind w:left="0"/>
        <w:jc w:val="left"/>
      </w:pPr>
      <w:r>
        <w:rPr>
          <w:rFonts w:ascii="Times New Roman"/>
          <w:b/>
          <w:i w:val="false"/>
          <w:color w:val="000000"/>
        </w:rPr>
        <w:t xml:space="preserve"> Chapter 2. Procedure for development and approval of the annual report on the</w:t>
      </w:r>
      <w:r>
        <w:br/>
      </w:r>
      <w:r>
        <w:rPr>
          <w:rFonts w:ascii="Times New Roman"/>
          <w:b/>
          <w:i w:val="false"/>
          <w:color w:val="000000"/>
        </w:rPr>
        <w:t>state of business regulation in the Republic of Kazakhstan</w:t>
      </w:r>
    </w:p>
    <w:bookmarkEnd w:id="11"/>
    <w:bookmarkStart w:name="z16" w:id="12"/>
    <w:p>
      <w:pPr>
        <w:spacing w:after="0"/>
        <w:ind w:left="0"/>
        <w:jc w:val="both"/>
      </w:pPr>
      <w:r>
        <w:rPr>
          <w:rFonts w:ascii="Times New Roman"/>
          <w:b w:val="false"/>
          <w:i w:val="false"/>
          <w:color w:val="000000"/>
          <w:sz w:val="28"/>
        </w:rPr>
        <w:t>
      3. The annual report shall be prepared by the authorized body on the basis of reports and reports on RIA by results of the year, following the reporting one.</w:t>
      </w:r>
    </w:p>
    <w:bookmarkEnd w:id="12"/>
    <w:bookmarkStart w:name="z17" w:id="13"/>
    <w:p>
      <w:pPr>
        <w:spacing w:after="0"/>
        <w:ind w:left="0"/>
        <w:jc w:val="both"/>
      </w:pPr>
      <w:r>
        <w:rPr>
          <w:rFonts w:ascii="Times New Roman"/>
          <w:b w:val="false"/>
          <w:i w:val="false"/>
          <w:color w:val="000000"/>
          <w:sz w:val="28"/>
        </w:rPr>
        <w:t>
      4. Reports / reports on RIA shall be place on the internet-resource of the regulating state bodies/local executive bodies of a region, cities of republican significance, capital, carrying out management in the field of business, and shall be submitted to the authorized body no later than February 10 of the year following the reporting one.</w:t>
      </w:r>
    </w:p>
    <w:bookmarkEnd w:id="13"/>
    <w:bookmarkStart w:name="z18" w:id="14"/>
    <w:p>
      <w:pPr>
        <w:spacing w:after="0"/>
        <w:ind w:left="0"/>
        <w:jc w:val="both"/>
      </w:pPr>
      <w:r>
        <w:rPr>
          <w:rFonts w:ascii="Times New Roman"/>
          <w:b w:val="false"/>
          <w:i w:val="false"/>
          <w:color w:val="000000"/>
          <w:sz w:val="28"/>
        </w:rPr>
        <w:t>
      5. The report shall contain the following information:</w:t>
      </w:r>
    </w:p>
    <w:bookmarkEnd w:id="14"/>
    <w:bookmarkStart w:name="z19" w:id="15"/>
    <w:p>
      <w:pPr>
        <w:spacing w:after="0"/>
        <w:ind w:left="0"/>
        <w:jc w:val="both"/>
      </w:pPr>
      <w:r>
        <w:rPr>
          <w:rFonts w:ascii="Times New Roman"/>
          <w:b w:val="false"/>
          <w:i w:val="false"/>
          <w:color w:val="000000"/>
          <w:sz w:val="28"/>
        </w:rPr>
        <w:t>
      1) on authorization documents in the form according to annex 1 to these Rules;</w:t>
      </w:r>
    </w:p>
    <w:bookmarkEnd w:id="15"/>
    <w:bookmarkStart w:name="z20" w:id="16"/>
    <w:p>
      <w:pPr>
        <w:spacing w:after="0"/>
        <w:ind w:left="0"/>
        <w:jc w:val="both"/>
      </w:pPr>
      <w:r>
        <w:rPr>
          <w:rFonts w:ascii="Times New Roman"/>
          <w:b w:val="false"/>
          <w:i w:val="false"/>
          <w:color w:val="000000"/>
          <w:sz w:val="28"/>
        </w:rPr>
        <w:t>
      2) on state control and supervision in the form according to annex 2 to these Rules;</w:t>
      </w:r>
    </w:p>
    <w:bookmarkEnd w:id="16"/>
    <w:bookmarkStart w:name="z21" w:id="17"/>
    <w:p>
      <w:pPr>
        <w:spacing w:after="0"/>
        <w:ind w:left="0"/>
        <w:jc w:val="both"/>
      </w:pPr>
      <w:r>
        <w:rPr>
          <w:rFonts w:ascii="Times New Roman"/>
          <w:b w:val="false"/>
          <w:i w:val="false"/>
          <w:color w:val="000000"/>
          <w:sz w:val="28"/>
        </w:rPr>
        <w:t>
      3) on information instruments in the form according to annex 3 to these Rules;</w:t>
      </w:r>
    </w:p>
    <w:bookmarkEnd w:id="17"/>
    <w:bookmarkStart w:name="z22" w:id="18"/>
    <w:p>
      <w:pPr>
        <w:spacing w:after="0"/>
        <w:ind w:left="0"/>
        <w:jc w:val="both"/>
      </w:pPr>
      <w:r>
        <w:rPr>
          <w:rFonts w:ascii="Times New Roman"/>
          <w:b w:val="false"/>
          <w:i w:val="false"/>
          <w:color w:val="000000"/>
          <w:sz w:val="28"/>
        </w:rPr>
        <w:t>
      4) on self-regulatory organizations in the form according to annex 4 to these Rules;</w:t>
      </w:r>
    </w:p>
    <w:bookmarkEnd w:id="18"/>
    <w:bookmarkStart w:name="z23" w:id="19"/>
    <w:p>
      <w:pPr>
        <w:spacing w:after="0"/>
        <w:ind w:left="0"/>
        <w:jc w:val="both"/>
      </w:pPr>
      <w:r>
        <w:rPr>
          <w:rFonts w:ascii="Times New Roman"/>
          <w:b w:val="false"/>
          <w:i w:val="false"/>
          <w:color w:val="000000"/>
          <w:sz w:val="28"/>
        </w:rPr>
        <w:t>
      5) on analysis of regulatory impact in the form according to annex 5 to these Rules.</w:t>
      </w:r>
    </w:p>
    <w:bookmarkEnd w:id="19"/>
    <w:bookmarkStart w:name="z24" w:id="20"/>
    <w:p>
      <w:pPr>
        <w:spacing w:after="0"/>
        <w:ind w:left="0"/>
        <w:jc w:val="both"/>
      </w:pPr>
      <w:r>
        <w:rPr>
          <w:rFonts w:ascii="Times New Roman"/>
          <w:b w:val="false"/>
          <w:i w:val="false"/>
          <w:color w:val="000000"/>
          <w:sz w:val="28"/>
        </w:rPr>
        <w:t>
      6. Information of regulating state bodies, stipulated by subparagraphs 1), 2), 3) 4) and 5) of paragraph 5 of these Rules, shall be subject to analysis and shall be accompanied by analytical notes:</w:t>
      </w:r>
    </w:p>
    <w:bookmarkEnd w:id="20"/>
    <w:bookmarkStart w:name="z25" w:id="21"/>
    <w:p>
      <w:pPr>
        <w:spacing w:after="0"/>
        <w:ind w:left="0"/>
        <w:jc w:val="both"/>
      </w:pPr>
      <w:r>
        <w:rPr>
          <w:rFonts w:ascii="Times New Roman"/>
          <w:b w:val="false"/>
          <w:i w:val="false"/>
          <w:color w:val="000000"/>
          <w:sz w:val="28"/>
        </w:rPr>
        <w:t>
      1) analytical note to information on authorization documents, which shall contain:</w:t>
      </w:r>
    </w:p>
    <w:bookmarkEnd w:id="21"/>
    <w:bookmarkStart w:name="z26" w:id="22"/>
    <w:p>
      <w:pPr>
        <w:spacing w:after="0"/>
        <w:ind w:left="0"/>
        <w:jc w:val="both"/>
      </w:pPr>
      <w:r>
        <w:rPr>
          <w:rFonts w:ascii="Times New Roman"/>
          <w:b w:val="false"/>
          <w:i w:val="false"/>
          <w:color w:val="000000"/>
          <w:sz w:val="28"/>
        </w:rPr>
        <w:t>
      number and name of authorization documents in spheres regulated by the state body;</w:t>
      </w:r>
    </w:p>
    <w:bookmarkEnd w:id="22"/>
    <w:bookmarkStart w:name="z27" w:id="23"/>
    <w:p>
      <w:pPr>
        <w:spacing w:after="0"/>
        <w:ind w:left="0"/>
        <w:jc w:val="both"/>
      </w:pPr>
      <w:r>
        <w:rPr>
          <w:rFonts w:ascii="Times New Roman"/>
          <w:b w:val="false"/>
          <w:i w:val="false"/>
          <w:color w:val="000000"/>
          <w:sz w:val="28"/>
        </w:rPr>
        <w:t>
      number and name of authorization documents that are entered in accordance with international treaties (indicating the details of the act and its structural element);</w:t>
      </w:r>
    </w:p>
    <w:bookmarkEnd w:id="23"/>
    <w:bookmarkStart w:name="z28" w:id="24"/>
    <w:p>
      <w:pPr>
        <w:spacing w:after="0"/>
        <w:ind w:left="0"/>
        <w:jc w:val="both"/>
      </w:pPr>
      <w:r>
        <w:rPr>
          <w:rFonts w:ascii="Times New Roman"/>
          <w:b w:val="false"/>
          <w:i w:val="false"/>
          <w:color w:val="000000"/>
          <w:sz w:val="28"/>
        </w:rPr>
        <w:t>
      number of issued authorization documents for the reporting period;</w:t>
      </w:r>
    </w:p>
    <w:bookmarkEnd w:id="24"/>
    <w:bookmarkStart w:name="z29" w:id="25"/>
    <w:p>
      <w:pPr>
        <w:spacing w:after="0"/>
        <w:ind w:left="0"/>
        <w:jc w:val="both"/>
      </w:pPr>
      <w:r>
        <w:rPr>
          <w:rFonts w:ascii="Times New Roman"/>
          <w:b w:val="false"/>
          <w:i w:val="false"/>
          <w:color w:val="000000"/>
          <w:sz w:val="28"/>
        </w:rPr>
        <w:t>
      information on the work done to reduce administrative barriers (transfer to a lower level, cancellation of an authorization document, optimization of terms for issuing and requirements for issuing an authorization document).</w:t>
      </w:r>
    </w:p>
    <w:bookmarkEnd w:id="25"/>
    <w:bookmarkStart w:name="z30" w:id="26"/>
    <w:p>
      <w:pPr>
        <w:spacing w:after="0"/>
        <w:ind w:left="0"/>
        <w:jc w:val="both"/>
      </w:pPr>
      <w:r>
        <w:rPr>
          <w:rFonts w:ascii="Times New Roman"/>
          <w:b w:val="false"/>
          <w:i w:val="false"/>
          <w:color w:val="000000"/>
          <w:sz w:val="28"/>
        </w:rPr>
        <w:t>
      Note: one general analytical note shall be filled out for all authorization documents related to the competence of a state body;</w:t>
      </w:r>
    </w:p>
    <w:bookmarkEnd w:id="26"/>
    <w:bookmarkStart w:name="z31" w:id="27"/>
    <w:p>
      <w:pPr>
        <w:spacing w:after="0"/>
        <w:ind w:left="0"/>
        <w:jc w:val="both"/>
      </w:pPr>
      <w:r>
        <w:rPr>
          <w:rFonts w:ascii="Times New Roman"/>
          <w:b w:val="false"/>
          <w:i w:val="false"/>
          <w:color w:val="000000"/>
          <w:sz w:val="28"/>
        </w:rPr>
        <w:t>
      2) analytical note to information on state control and supervision, which shall contain:</w:t>
      </w:r>
    </w:p>
    <w:bookmarkEnd w:id="27"/>
    <w:bookmarkStart w:name="z32" w:id="28"/>
    <w:p>
      <w:pPr>
        <w:spacing w:after="0"/>
        <w:ind w:left="0"/>
        <w:jc w:val="both"/>
      </w:pPr>
      <w:r>
        <w:rPr>
          <w:rFonts w:ascii="Times New Roman"/>
          <w:b w:val="false"/>
          <w:i w:val="false"/>
          <w:color w:val="000000"/>
          <w:sz w:val="28"/>
        </w:rPr>
        <w:t>
      the results of the analysis of the current situation in the spheres of state control and supervision in comparison with the previous similar period;</w:t>
      </w:r>
    </w:p>
    <w:bookmarkEnd w:id="28"/>
    <w:bookmarkStart w:name="z33" w:id="29"/>
    <w:p>
      <w:pPr>
        <w:spacing w:after="0"/>
        <w:ind w:left="0"/>
        <w:jc w:val="both"/>
      </w:pPr>
      <w:r>
        <w:rPr>
          <w:rFonts w:ascii="Times New Roman"/>
          <w:b w:val="false"/>
          <w:i w:val="false"/>
          <w:color w:val="000000"/>
          <w:sz w:val="28"/>
        </w:rPr>
        <w:t>
      dynamics (decrease and increase) of quantitative and qualitative indicators based on the results of state control and supervision;</w:t>
      </w:r>
    </w:p>
    <w:bookmarkEnd w:id="29"/>
    <w:bookmarkStart w:name="z34" w:id="30"/>
    <w:p>
      <w:pPr>
        <w:spacing w:after="0"/>
        <w:ind w:left="0"/>
        <w:jc w:val="both"/>
      </w:pPr>
      <w:r>
        <w:rPr>
          <w:rFonts w:ascii="Times New Roman"/>
          <w:b w:val="false"/>
          <w:i w:val="false"/>
          <w:color w:val="000000"/>
          <w:sz w:val="28"/>
        </w:rPr>
        <w:t>
      the effectiveness of state control and supervision, providing risk reduction, the likelihood of harm to life and human health, the environment, the legitimate interests of individuals and legal entities, the property interests of the state as a result of the activities of the subject of control and supervision compared with the previous period;</w:t>
      </w:r>
    </w:p>
    <w:bookmarkEnd w:id="30"/>
    <w:bookmarkStart w:name="z35" w:id="31"/>
    <w:p>
      <w:pPr>
        <w:spacing w:after="0"/>
        <w:ind w:left="0"/>
        <w:jc w:val="both"/>
      </w:pPr>
      <w:r>
        <w:rPr>
          <w:rFonts w:ascii="Times New Roman"/>
          <w:b w:val="false"/>
          <w:i w:val="false"/>
          <w:color w:val="000000"/>
          <w:sz w:val="28"/>
        </w:rPr>
        <w:t>
      information on measures to stimulate business entities to comply with legislative requirements in connection with state control and supervision based on the promotion of bona fide audited entities, concentration of control and supervision on violators;</w:t>
      </w:r>
    </w:p>
    <w:bookmarkEnd w:id="31"/>
    <w:bookmarkStart w:name="z36" w:id="32"/>
    <w:p>
      <w:pPr>
        <w:spacing w:after="0"/>
        <w:ind w:left="0"/>
        <w:jc w:val="both"/>
      </w:pPr>
      <w:r>
        <w:rPr>
          <w:rFonts w:ascii="Times New Roman"/>
          <w:b w:val="false"/>
          <w:i w:val="false"/>
          <w:color w:val="000000"/>
          <w:sz w:val="28"/>
        </w:rPr>
        <w:t>
      information on the implementation and improvement of alternative forms of control and supervision in the spheres of control and supervision, ensuring the safety of life and human health, the environment, compliance with the legitimate interests of individuals and legal entities, property interests of the state;</w:t>
      </w:r>
    </w:p>
    <w:bookmarkEnd w:id="32"/>
    <w:bookmarkStart w:name="z37" w:id="33"/>
    <w:p>
      <w:pPr>
        <w:spacing w:after="0"/>
        <w:ind w:left="0"/>
        <w:jc w:val="both"/>
      </w:pPr>
      <w:r>
        <w:rPr>
          <w:rFonts w:ascii="Times New Roman"/>
          <w:b w:val="false"/>
          <w:i w:val="false"/>
          <w:color w:val="000000"/>
          <w:sz w:val="28"/>
        </w:rPr>
        <w:t>
      proposals on improvement of legislation on state control and supervision;</w:t>
      </w:r>
    </w:p>
    <w:bookmarkEnd w:id="33"/>
    <w:bookmarkStart w:name="z38" w:id="34"/>
    <w:p>
      <w:pPr>
        <w:spacing w:after="0"/>
        <w:ind w:left="0"/>
        <w:jc w:val="both"/>
      </w:pPr>
      <w:r>
        <w:rPr>
          <w:rFonts w:ascii="Times New Roman"/>
          <w:b w:val="false"/>
          <w:i w:val="false"/>
          <w:color w:val="000000"/>
          <w:sz w:val="28"/>
        </w:rPr>
        <w:t>
      3) analytical note to information on information instruments, which shall contain:</w:t>
      </w:r>
    </w:p>
    <w:bookmarkEnd w:id="34"/>
    <w:bookmarkStart w:name="z39" w:id="35"/>
    <w:p>
      <w:pPr>
        <w:spacing w:after="0"/>
        <w:ind w:left="0"/>
        <w:jc w:val="both"/>
      </w:pPr>
      <w:r>
        <w:rPr>
          <w:rFonts w:ascii="Times New Roman"/>
          <w:b w:val="false"/>
          <w:i w:val="false"/>
          <w:color w:val="000000"/>
          <w:sz w:val="28"/>
        </w:rPr>
        <w:t>
      Analysis of submitted information, including:</w:t>
      </w:r>
    </w:p>
    <w:bookmarkEnd w:id="35"/>
    <w:bookmarkStart w:name="z40" w:id="36"/>
    <w:p>
      <w:pPr>
        <w:spacing w:after="0"/>
        <w:ind w:left="0"/>
        <w:jc w:val="both"/>
      </w:pPr>
      <w:r>
        <w:rPr>
          <w:rFonts w:ascii="Times New Roman"/>
          <w:b w:val="false"/>
          <w:i w:val="false"/>
          <w:color w:val="000000"/>
          <w:sz w:val="28"/>
        </w:rPr>
        <w:t>
      Number and name of information instruments, stipulated by regulatory legal acts of the Republic of Kazakhstan;</w:t>
      </w:r>
    </w:p>
    <w:bookmarkEnd w:id="36"/>
    <w:bookmarkStart w:name="z41" w:id="37"/>
    <w:p>
      <w:pPr>
        <w:spacing w:after="0"/>
        <w:ind w:left="0"/>
        <w:jc w:val="both"/>
      </w:pPr>
      <w:r>
        <w:rPr>
          <w:rFonts w:ascii="Times New Roman"/>
          <w:b w:val="false"/>
          <w:i w:val="false"/>
          <w:color w:val="000000"/>
          <w:sz w:val="28"/>
        </w:rPr>
        <w:t>
      information on the amount of information provided, broken down into electronic / paper format;</w:t>
      </w:r>
    </w:p>
    <w:bookmarkEnd w:id="37"/>
    <w:bookmarkStart w:name="z42" w:id="38"/>
    <w:p>
      <w:pPr>
        <w:spacing w:after="0"/>
        <w:ind w:left="0"/>
        <w:jc w:val="both"/>
      </w:pPr>
      <w:r>
        <w:rPr>
          <w:rFonts w:ascii="Times New Roman"/>
          <w:b w:val="false"/>
          <w:i w:val="false"/>
          <w:color w:val="000000"/>
          <w:sz w:val="28"/>
        </w:rPr>
        <w:t>
      information on duplication of the provision of information to other regulatory state bodies;</w:t>
      </w:r>
    </w:p>
    <w:bookmarkEnd w:id="38"/>
    <w:bookmarkStart w:name="z43" w:id="39"/>
    <w:p>
      <w:pPr>
        <w:spacing w:after="0"/>
        <w:ind w:left="0"/>
        <w:jc w:val="both"/>
      </w:pPr>
      <w:r>
        <w:rPr>
          <w:rFonts w:ascii="Times New Roman"/>
          <w:b w:val="false"/>
          <w:i w:val="false"/>
          <w:color w:val="000000"/>
          <w:sz w:val="28"/>
        </w:rPr>
        <w:t>
      proposals on optimization of information instruments;</w:t>
      </w:r>
    </w:p>
    <w:bookmarkEnd w:id="39"/>
    <w:bookmarkStart w:name="z44" w:id="40"/>
    <w:p>
      <w:pPr>
        <w:spacing w:after="0"/>
        <w:ind w:left="0"/>
        <w:jc w:val="both"/>
      </w:pPr>
      <w:r>
        <w:rPr>
          <w:rFonts w:ascii="Times New Roman"/>
          <w:b w:val="false"/>
          <w:i w:val="false"/>
          <w:color w:val="000000"/>
          <w:sz w:val="28"/>
        </w:rPr>
        <w:t>
      4) analytical note to information on self-regulatory organizations, which shall contain:</w:t>
      </w:r>
    </w:p>
    <w:bookmarkEnd w:id="40"/>
    <w:bookmarkStart w:name="z45" w:id="41"/>
    <w:p>
      <w:pPr>
        <w:spacing w:after="0"/>
        <w:ind w:left="0"/>
        <w:jc w:val="both"/>
      </w:pPr>
      <w:r>
        <w:rPr>
          <w:rFonts w:ascii="Times New Roman"/>
          <w:b w:val="false"/>
          <w:i w:val="false"/>
          <w:color w:val="000000"/>
          <w:sz w:val="28"/>
        </w:rPr>
        <w:t>
      analysis of the functioning of self-regulatory organizations in the regulated sphere (industry);</w:t>
      </w:r>
    </w:p>
    <w:bookmarkEnd w:id="41"/>
    <w:bookmarkStart w:name="z46" w:id="42"/>
    <w:p>
      <w:pPr>
        <w:spacing w:after="0"/>
        <w:ind w:left="0"/>
        <w:jc w:val="both"/>
      </w:pPr>
      <w:r>
        <w:rPr>
          <w:rFonts w:ascii="Times New Roman"/>
          <w:b w:val="false"/>
          <w:i w:val="false"/>
          <w:color w:val="000000"/>
          <w:sz w:val="28"/>
        </w:rPr>
        <w:t>
      information on the number of self-regulatory organizations and on branches or spheres of government in which self-regulation is introduced;</w:t>
      </w:r>
    </w:p>
    <w:bookmarkEnd w:id="42"/>
    <w:bookmarkStart w:name="z47" w:id="43"/>
    <w:p>
      <w:pPr>
        <w:spacing w:after="0"/>
        <w:ind w:left="0"/>
        <w:jc w:val="both"/>
      </w:pPr>
      <w:r>
        <w:rPr>
          <w:rFonts w:ascii="Times New Roman"/>
          <w:b w:val="false"/>
          <w:i w:val="false"/>
          <w:color w:val="000000"/>
          <w:sz w:val="28"/>
        </w:rPr>
        <w:t>
      branches or spheres of government in which self-regulation is planned;</w:t>
      </w:r>
    </w:p>
    <w:bookmarkEnd w:id="43"/>
    <w:bookmarkStart w:name="z48" w:id="44"/>
    <w:p>
      <w:pPr>
        <w:spacing w:after="0"/>
        <w:ind w:left="0"/>
        <w:jc w:val="both"/>
      </w:pPr>
      <w:r>
        <w:rPr>
          <w:rFonts w:ascii="Times New Roman"/>
          <w:b w:val="false"/>
          <w:i w:val="false"/>
          <w:color w:val="000000"/>
          <w:sz w:val="28"/>
        </w:rPr>
        <w:t>
      proposals on improvement of self-regulation institutions;</w:t>
      </w:r>
    </w:p>
    <w:bookmarkEnd w:id="44"/>
    <w:bookmarkStart w:name="z49" w:id="45"/>
    <w:p>
      <w:pPr>
        <w:spacing w:after="0"/>
        <w:ind w:left="0"/>
        <w:jc w:val="both"/>
      </w:pPr>
      <w:r>
        <w:rPr>
          <w:rFonts w:ascii="Times New Roman"/>
          <w:b w:val="false"/>
          <w:i w:val="false"/>
          <w:color w:val="000000"/>
          <w:sz w:val="28"/>
        </w:rPr>
        <w:t>
      5) analytical note to information on analysis of regulatory impact, which shall contain:</w:t>
      </w:r>
    </w:p>
    <w:bookmarkEnd w:id="45"/>
    <w:bookmarkStart w:name="z50" w:id="46"/>
    <w:p>
      <w:pPr>
        <w:spacing w:after="0"/>
        <w:ind w:left="0"/>
        <w:jc w:val="both"/>
      </w:pPr>
      <w:r>
        <w:rPr>
          <w:rFonts w:ascii="Times New Roman"/>
          <w:b w:val="false"/>
          <w:i w:val="false"/>
          <w:color w:val="000000"/>
          <w:sz w:val="28"/>
        </w:rPr>
        <w:t>
      the number of requirements for which the regulatory impact analysis procedure was carried out;</w:t>
      </w:r>
    </w:p>
    <w:bookmarkEnd w:id="46"/>
    <w:bookmarkStart w:name="z51" w:id="47"/>
    <w:p>
      <w:pPr>
        <w:spacing w:after="0"/>
        <w:ind w:left="0"/>
        <w:jc w:val="both"/>
      </w:pPr>
      <w:r>
        <w:rPr>
          <w:rFonts w:ascii="Times New Roman"/>
          <w:b w:val="false"/>
          <w:i w:val="false"/>
          <w:color w:val="000000"/>
          <w:sz w:val="28"/>
        </w:rPr>
        <w:t>
      the number of opinions received on compliance with regulatory impact analysis procedures, indicating the number of positive and negative conclusions;</w:t>
      </w:r>
    </w:p>
    <w:bookmarkEnd w:id="47"/>
    <w:bookmarkStart w:name="z52" w:id="48"/>
    <w:p>
      <w:pPr>
        <w:spacing w:after="0"/>
        <w:ind w:left="0"/>
        <w:jc w:val="both"/>
      </w:pPr>
      <w:r>
        <w:rPr>
          <w:rFonts w:ascii="Times New Roman"/>
          <w:b w:val="false"/>
          <w:i w:val="false"/>
          <w:color w:val="000000"/>
          <w:sz w:val="28"/>
        </w:rPr>
        <w:t>
      analysis of the implementation of the plan for the revision of existing regulatory instruments, including:</w:t>
      </w:r>
    </w:p>
    <w:bookmarkEnd w:id="48"/>
    <w:bookmarkStart w:name="z53" w:id="49"/>
    <w:p>
      <w:pPr>
        <w:spacing w:after="0"/>
        <w:ind w:left="0"/>
        <w:jc w:val="both"/>
      </w:pPr>
      <w:r>
        <w:rPr>
          <w:rFonts w:ascii="Times New Roman"/>
          <w:b w:val="false"/>
          <w:i w:val="false"/>
          <w:color w:val="000000"/>
          <w:sz w:val="28"/>
        </w:rPr>
        <w:t>
      number of requirements planned for revision;</w:t>
      </w:r>
    </w:p>
    <w:bookmarkEnd w:id="49"/>
    <w:bookmarkStart w:name="z54" w:id="50"/>
    <w:p>
      <w:pPr>
        <w:spacing w:after="0"/>
        <w:ind w:left="0"/>
        <w:jc w:val="both"/>
      </w:pPr>
      <w:r>
        <w:rPr>
          <w:rFonts w:ascii="Times New Roman"/>
          <w:b w:val="false"/>
          <w:i w:val="false"/>
          <w:color w:val="000000"/>
          <w:sz w:val="28"/>
        </w:rPr>
        <w:t>
      number of revised requirements;</w:t>
      </w:r>
    </w:p>
    <w:bookmarkEnd w:id="50"/>
    <w:bookmarkStart w:name="z55" w:id="51"/>
    <w:p>
      <w:pPr>
        <w:spacing w:after="0"/>
        <w:ind w:left="0"/>
        <w:jc w:val="both"/>
      </w:pPr>
      <w:r>
        <w:rPr>
          <w:rFonts w:ascii="Times New Roman"/>
          <w:b w:val="false"/>
          <w:i w:val="false"/>
          <w:color w:val="000000"/>
          <w:sz w:val="28"/>
        </w:rPr>
        <w:t>
      information on decisions made following the results of the review;</w:t>
      </w:r>
    </w:p>
    <w:bookmarkEnd w:id="51"/>
    <w:bookmarkStart w:name="z56" w:id="52"/>
    <w:p>
      <w:pPr>
        <w:spacing w:after="0"/>
        <w:ind w:left="0"/>
        <w:jc w:val="both"/>
      </w:pPr>
      <w:r>
        <w:rPr>
          <w:rFonts w:ascii="Times New Roman"/>
          <w:b w:val="false"/>
          <w:i w:val="false"/>
          <w:color w:val="000000"/>
          <w:sz w:val="28"/>
        </w:rPr>
        <w:t>
      analysis of participation in training activities to conduct regulatory impact analysis, including:</w:t>
      </w:r>
    </w:p>
    <w:bookmarkEnd w:id="52"/>
    <w:bookmarkStart w:name="z57" w:id="53"/>
    <w:p>
      <w:pPr>
        <w:spacing w:after="0"/>
        <w:ind w:left="0"/>
        <w:jc w:val="both"/>
      </w:pPr>
      <w:r>
        <w:rPr>
          <w:rFonts w:ascii="Times New Roman"/>
          <w:b w:val="false"/>
          <w:i w:val="false"/>
          <w:color w:val="000000"/>
          <w:sz w:val="28"/>
        </w:rPr>
        <w:t>
      information on the number of participants who took part, indicating the place and time of its holding;</w:t>
      </w:r>
    </w:p>
    <w:bookmarkEnd w:id="53"/>
    <w:bookmarkStart w:name="z58" w:id="54"/>
    <w:p>
      <w:pPr>
        <w:spacing w:after="0"/>
        <w:ind w:left="0"/>
        <w:jc w:val="both"/>
      </w:pPr>
      <w:r>
        <w:rPr>
          <w:rFonts w:ascii="Times New Roman"/>
          <w:b w:val="false"/>
          <w:i w:val="false"/>
          <w:color w:val="000000"/>
          <w:sz w:val="28"/>
        </w:rPr>
        <w:t>
      analysis of financial benefits and costs (monetization) associated with the implementation of new requirements;</w:t>
      </w:r>
    </w:p>
    <w:bookmarkEnd w:id="54"/>
    <w:bookmarkStart w:name="z59" w:id="55"/>
    <w:p>
      <w:pPr>
        <w:spacing w:after="0"/>
        <w:ind w:left="0"/>
        <w:jc w:val="both"/>
      </w:pPr>
      <w:r>
        <w:rPr>
          <w:rFonts w:ascii="Times New Roman"/>
          <w:b w:val="false"/>
          <w:i w:val="false"/>
          <w:color w:val="000000"/>
          <w:sz w:val="28"/>
        </w:rPr>
        <w:t>
      plans for proposed reforms in the regulatory activities of the state body for next year.</w:t>
      </w:r>
    </w:p>
    <w:bookmarkEnd w:id="55"/>
    <w:bookmarkStart w:name="z60" w:id="56"/>
    <w:p>
      <w:pPr>
        <w:spacing w:after="0"/>
        <w:ind w:left="0"/>
        <w:jc w:val="both"/>
      </w:pPr>
      <w:r>
        <w:rPr>
          <w:rFonts w:ascii="Times New Roman"/>
          <w:b w:val="false"/>
          <w:i w:val="false"/>
          <w:color w:val="000000"/>
          <w:sz w:val="28"/>
        </w:rPr>
        <w:t>
      7. Report on RIA consists of information on issued opinions on the compliance by developers of draft acts of regional importance, the regional chamber and other interested parties with established procedures in the form according to annex 6 to these Rules and shall be accompanied by an analytical note.</w:t>
      </w:r>
    </w:p>
    <w:bookmarkEnd w:id="56"/>
    <w:bookmarkStart w:name="z61" w:id="57"/>
    <w:p>
      <w:pPr>
        <w:spacing w:after="0"/>
        <w:ind w:left="0"/>
        <w:jc w:val="both"/>
      </w:pPr>
      <w:r>
        <w:rPr>
          <w:rFonts w:ascii="Times New Roman"/>
          <w:b w:val="false"/>
          <w:i w:val="false"/>
          <w:color w:val="000000"/>
          <w:sz w:val="28"/>
        </w:rPr>
        <w:t>
      8. The analytical note shall contain:</w:t>
      </w:r>
    </w:p>
    <w:bookmarkEnd w:id="57"/>
    <w:bookmarkStart w:name="z62" w:id="58"/>
    <w:p>
      <w:pPr>
        <w:spacing w:after="0"/>
        <w:ind w:left="0"/>
        <w:jc w:val="both"/>
      </w:pPr>
      <w:r>
        <w:rPr>
          <w:rFonts w:ascii="Times New Roman"/>
          <w:b w:val="false"/>
          <w:i w:val="false"/>
          <w:color w:val="000000"/>
          <w:sz w:val="28"/>
        </w:rPr>
        <w:t>
      Reasons for issuing negative opinions, including:</w:t>
      </w:r>
    </w:p>
    <w:bookmarkEnd w:id="58"/>
    <w:bookmarkStart w:name="z63" w:id="59"/>
    <w:p>
      <w:pPr>
        <w:spacing w:after="0"/>
        <w:ind w:left="0"/>
        <w:jc w:val="both"/>
      </w:pPr>
      <w:r>
        <w:rPr>
          <w:rFonts w:ascii="Times New Roman"/>
          <w:b w:val="false"/>
          <w:i w:val="false"/>
          <w:color w:val="000000"/>
          <w:sz w:val="28"/>
        </w:rPr>
        <w:t>
      failure to hold public discussions;</w:t>
      </w:r>
    </w:p>
    <w:bookmarkEnd w:id="59"/>
    <w:bookmarkStart w:name="z64" w:id="60"/>
    <w:p>
      <w:pPr>
        <w:spacing w:after="0"/>
        <w:ind w:left="0"/>
        <w:jc w:val="both"/>
      </w:pPr>
      <w:r>
        <w:rPr>
          <w:rFonts w:ascii="Times New Roman"/>
          <w:b w:val="false"/>
          <w:i w:val="false"/>
          <w:color w:val="000000"/>
          <w:sz w:val="28"/>
        </w:rPr>
        <w:t>
      incorrect definition of the problem and the purpose of regulation;</w:t>
      </w:r>
    </w:p>
    <w:bookmarkEnd w:id="60"/>
    <w:bookmarkStart w:name="z65" w:id="61"/>
    <w:p>
      <w:pPr>
        <w:spacing w:after="0"/>
        <w:ind w:left="0"/>
        <w:jc w:val="both"/>
      </w:pPr>
      <w:r>
        <w:rPr>
          <w:rFonts w:ascii="Times New Roman"/>
          <w:b w:val="false"/>
          <w:i w:val="false"/>
          <w:color w:val="000000"/>
          <w:sz w:val="28"/>
        </w:rPr>
        <w:t>
      lack of alternative regulatory approaches (ineffective alternatives);</w:t>
      </w:r>
    </w:p>
    <w:bookmarkEnd w:id="61"/>
    <w:bookmarkStart w:name="z66" w:id="62"/>
    <w:p>
      <w:pPr>
        <w:spacing w:after="0"/>
        <w:ind w:left="0"/>
        <w:jc w:val="both"/>
      </w:pPr>
      <w:r>
        <w:rPr>
          <w:rFonts w:ascii="Times New Roman"/>
          <w:b w:val="false"/>
          <w:i w:val="false"/>
          <w:color w:val="000000"/>
          <w:sz w:val="28"/>
        </w:rPr>
        <w:t>
      failure to calculate costs (monetization);</w:t>
      </w:r>
    </w:p>
    <w:bookmarkEnd w:id="62"/>
    <w:bookmarkStart w:name="z67" w:id="63"/>
    <w:p>
      <w:pPr>
        <w:spacing w:after="0"/>
        <w:ind w:left="0"/>
        <w:jc w:val="both"/>
      </w:pPr>
      <w:r>
        <w:rPr>
          <w:rFonts w:ascii="Times New Roman"/>
          <w:b w:val="false"/>
          <w:i w:val="false"/>
          <w:color w:val="000000"/>
          <w:sz w:val="28"/>
        </w:rPr>
        <w:t>
      analysis of information on an alternative analysis of regulatory impact (total number, performer);</w:t>
      </w:r>
    </w:p>
    <w:bookmarkEnd w:id="63"/>
    <w:bookmarkStart w:name="z68" w:id="64"/>
    <w:p>
      <w:pPr>
        <w:spacing w:after="0"/>
        <w:ind w:left="0"/>
        <w:jc w:val="both"/>
      </w:pPr>
      <w:r>
        <w:rPr>
          <w:rFonts w:ascii="Times New Roman"/>
          <w:b w:val="false"/>
          <w:i w:val="false"/>
          <w:color w:val="000000"/>
          <w:sz w:val="28"/>
        </w:rPr>
        <w:t>
      analysis of execution of the plan of review of current regulatory instruments, including:</w:t>
      </w:r>
    </w:p>
    <w:bookmarkEnd w:id="64"/>
    <w:bookmarkStart w:name="z69" w:id="65"/>
    <w:p>
      <w:pPr>
        <w:spacing w:after="0"/>
        <w:ind w:left="0"/>
        <w:jc w:val="both"/>
      </w:pPr>
      <w:r>
        <w:rPr>
          <w:rFonts w:ascii="Times New Roman"/>
          <w:b w:val="false"/>
          <w:i w:val="false"/>
          <w:color w:val="000000"/>
          <w:sz w:val="28"/>
        </w:rPr>
        <w:t>
      number of requirements, planned for review;</w:t>
      </w:r>
    </w:p>
    <w:bookmarkEnd w:id="65"/>
    <w:bookmarkStart w:name="z70" w:id="66"/>
    <w:p>
      <w:pPr>
        <w:spacing w:after="0"/>
        <w:ind w:left="0"/>
        <w:jc w:val="both"/>
      </w:pPr>
      <w:r>
        <w:rPr>
          <w:rFonts w:ascii="Times New Roman"/>
          <w:b w:val="false"/>
          <w:i w:val="false"/>
          <w:color w:val="000000"/>
          <w:sz w:val="28"/>
        </w:rPr>
        <w:t>
      number of reviewed requirements;</w:t>
      </w:r>
    </w:p>
    <w:bookmarkEnd w:id="66"/>
    <w:bookmarkStart w:name="z71" w:id="67"/>
    <w:p>
      <w:pPr>
        <w:spacing w:after="0"/>
        <w:ind w:left="0"/>
        <w:jc w:val="both"/>
      </w:pPr>
      <w:r>
        <w:rPr>
          <w:rFonts w:ascii="Times New Roman"/>
          <w:b w:val="false"/>
          <w:i w:val="false"/>
          <w:color w:val="000000"/>
          <w:sz w:val="28"/>
        </w:rPr>
        <w:t>
      information on measures taken by results of the review;</w:t>
      </w:r>
    </w:p>
    <w:bookmarkEnd w:id="67"/>
    <w:bookmarkStart w:name="z72" w:id="68"/>
    <w:p>
      <w:pPr>
        <w:spacing w:after="0"/>
        <w:ind w:left="0"/>
        <w:jc w:val="both"/>
      </w:pPr>
      <w:r>
        <w:rPr>
          <w:rFonts w:ascii="Times New Roman"/>
          <w:b w:val="false"/>
          <w:i w:val="false"/>
          <w:color w:val="000000"/>
          <w:sz w:val="28"/>
        </w:rPr>
        <w:t>
      analysis of participation in training activities to conduct analysis of regulatory impact, including:</w:t>
      </w:r>
    </w:p>
    <w:bookmarkEnd w:id="68"/>
    <w:bookmarkStart w:name="z73" w:id="69"/>
    <w:p>
      <w:pPr>
        <w:spacing w:after="0"/>
        <w:ind w:left="0"/>
        <w:jc w:val="both"/>
      </w:pPr>
      <w:r>
        <w:rPr>
          <w:rFonts w:ascii="Times New Roman"/>
          <w:b w:val="false"/>
          <w:i w:val="false"/>
          <w:color w:val="000000"/>
          <w:sz w:val="28"/>
        </w:rPr>
        <w:t>
      information on the number of participants who took part, indicating the place and time of its holding.</w:t>
      </w:r>
    </w:p>
    <w:bookmarkEnd w:id="69"/>
    <w:bookmarkStart w:name="z74" w:id="70"/>
    <w:p>
      <w:pPr>
        <w:spacing w:after="0"/>
        <w:ind w:left="0"/>
        <w:jc w:val="both"/>
      </w:pPr>
      <w:r>
        <w:rPr>
          <w:rFonts w:ascii="Times New Roman"/>
          <w:b w:val="false"/>
          <w:i w:val="false"/>
          <w:color w:val="000000"/>
          <w:sz w:val="28"/>
        </w:rPr>
        <w:t>
      9. The authorized body within 60 calendar days upon receipt of reports and reports on RIA shall review them and shall prepare the annual report based on their results.</w:t>
      </w:r>
    </w:p>
    <w:bookmarkEnd w:id="70"/>
    <w:bookmarkStart w:name="z75" w:id="71"/>
    <w:p>
      <w:pPr>
        <w:spacing w:after="0"/>
        <w:ind w:left="0"/>
        <w:jc w:val="both"/>
      </w:pPr>
      <w:r>
        <w:rPr>
          <w:rFonts w:ascii="Times New Roman"/>
          <w:b w:val="false"/>
          <w:i w:val="false"/>
          <w:color w:val="000000"/>
          <w:sz w:val="28"/>
        </w:rPr>
        <w:t>
      10. Within the period of preparation of the annual report, when necessary, but no later than 15 calendar days before the expiry of the period of preparation of the annual report, specified by paragraph 9 of these Rules, the authorized body shall send for reports / reports on RIA further revision to the corresponding regulating state body / local executive body of a region, cities of regional significance, capital, carrying out management in the sphere of business, which from the time of receipt of comments shall revise them within 10 calendar days.</w:t>
      </w:r>
    </w:p>
    <w:bookmarkEnd w:id="71"/>
    <w:bookmarkStart w:name="z76" w:id="72"/>
    <w:p>
      <w:pPr>
        <w:spacing w:after="0"/>
        <w:ind w:left="0"/>
        <w:jc w:val="both"/>
      </w:pPr>
      <w:r>
        <w:rPr>
          <w:rFonts w:ascii="Times New Roman"/>
          <w:b w:val="false"/>
          <w:i w:val="false"/>
          <w:color w:val="000000"/>
          <w:sz w:val="28"/>
        </w:rPr>
        <w:t>
      11. The annual report shall be approved by its approval endorsing at Interdepartmental Commission for the issues of regulation of business under the Government of the Republic of Kazakhstan (hereinafter referred to as the IDC).</w:t>
      </w:r>
    </w:p>
    <w:bookmarkEnd w:id="72"/>
    <w:bookmarkStart w:name="z77" w:id="73"/>
    <w:p>
      <w:pPr>
        <w:spacing w:after="0"/>
        <w:ind w:left="0"/>
        <w:jc w:val="both"/>
      </w:pPr>
      <w:r>
        <w:rPr>
          <w:rFonts w:ascii="Times New Roman"/>
          <w:b w:val="false"/>
          <w:i w:val="false"/>
          <w:color w:val="000000"/>
          <w:sz w:val="28"/>
        </w:rPr>
        <w:t>
      12. The annual report prepared by the authorized body shall be submitted for consideration by the IDC before April 30 of the year, following the reporting one.</w:t>
      </w:r>
    </w:p>
    <w:bookmarkEnd w:id="73"/>
    <w:bookmarkStart w:name="z78" w:id="74"/>
    <w:p>
      <w:pPr>
        <w:spacing w:after="0"/>
        <w:ind w:left="0"/>
        <w:jc w:val="both"/>
      </w:pPr>
      <w:r>
        <w:rPr>
          <w:rFonts w:ascii="Times New Roman"/>
          <w:b w:val="false"/>
          <w:i w:val="false"/>
          <w:color w:val="000000"/>
          <w:sz w:val="28"/>
        </w:rPr>
        <w:t>
      In case if there any recommendations by the IDC concerning further revision of the annual report, the authorized body no later than 15 calendar days shall enter corresponding adjustments, and thereafter shall repeatedly submit it for consideration by the IDC.</w:t>
      </w:r>
    </w:p>
    <w:bookmarkEnd w:id="74"/>
    <w:bookmarkStart w:name="z79" w:id="75"/>
    <w:p>
      <w:pPr>
        <w:spacing w:after="0"/>
        <w:ind w:left="0"/>
        <w:jc w:val="both"/>
      </w:pPr>
      <w:r>
        <w:rPr>
          <w:rFonts w:ascii="Times New Roman"/>
          <w:b w:val="false"/>
          <w:i w:val="false"/>
          <w:color w:val="000000"/>
          <w:sz w:val="28"/>
        </w:rPr>
        <w:t>
      13. The annual report from the time of its approval within 15 calendar days shall be placed at the internet-resource of the authorized body.</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the Rules for the development</w:t>
            </w:r>
            <w:r>
              <w:br/>
            </w:r>
            <w:r>
              <w:rPr>
                <w:rFonts w:ascii="Times New Roman"/>
                <w:b w:val="false"/>
                <w:i w:val="false"/>
                <w:color w:val="000000"/>
                <w:sz w:val="20"/>
              </w:rPr>
              <w:t>and approval of the annual report</w:t>
            </w:r>
            <w:r>
              <w:br/>
            </w:r>
            <w:r>
              <w:rPr>
                <w:rFonts w:ascii="Times New Roman"/>
                <w:b w:val="false"/>
                <w:i w:val="false"/>
                <w:color w:val="000000"/>
                <w:sz w:val="20"/>
              </w:rPr>
              <w:t>on the state of business regulation</w:t>
            </w:r>
            <w:r>
              <w:br/>
            </w:r>
            <w:r>
              <w:rPr>
                <w:rFonts w:ascii="Times New Roman"/>
                <w:b w:val="false"/>
                <w:i w:val="false"/>
                <w:color w:val="000000"/>
                <w:sz w:val="20"/>
              </w:rPr>
              <w:t>in the Republic of Kazakhstan</w:t>
            </w:r>
            <w:r>
              <w:br/>
            </w: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Information on authorization documents*</w:t>
      </w:r>
      <w:r>
        <w:br/>
      </w:r>
      <w:r>
        <w:rPr>
          <w:rFonts w:ascii="Times New Roman"/>
          <w:b/>
          <w:i w:val="false"/>
          <w:color w:val="000000"/>
        </w:rPr>
        <w:t>_______________________________________________________</w:t>
      </w:r>
      <w:r>
        <w:br/>
      </w:r>
      <w:r>
        <w:rPr>
          <w:rFonts w:ascii="Times New Roman"/>
          <w:b/>
          <w:i w:val="false"/>
          <w:color w:val="000000"/>
        </w:rPr>
        <w:t>(name of state body)</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authorization document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Indicate the full name of the document that is issued to the business entity or individual in accordance with the requirements of the licensing procedure. for example: </w:t>
            </w:r>
          </w:p>
          <w:p>
            <w:pPr>
              <w:spacing w:after="20"/>
              <w:ind w:left="20"/>
              <w:jc w:val="both"/>
            </w:pPr>
            <w:r>
              <w:rPr>
                <w:rFonts w:ascii="Times New Roman"/>
                <w:b w:val="false"/>
                <w:i w:val="false"/>
                <w:color w:val="000000"/>
                <w:sz w:val="20"/>
              </w:rPr>
              <w:t>
(1) Certificate of certification of seed production entities;</w:t>
            </w:r>
          </w:p>
          <w:p>
            <w:pPr>
              <w:spacing w:after="20"/>
              <w:ind w:left="20"/>
              <w:jc w:val="both"/>
            </w:pPr>
            <w:r>
              <w:rPr>
                <w:rFonts w:ascii="Times New Roman"/>
                <w:b w:val="false"/>
                <w:i w:val="false"/>
                <w:color w:val="000000"/>
                <w:sz w:val="20"/>
              </w:rPr>
              <w:t>
(2) License for medical activities;</w:t>
            </w:r>
          </w:p>
          <w:p>
            <w:pPr>
              <w:spacing w:after="20"/>
              <w:ind w:left="20"/>
              <w:jc w:val="both"/>
            </w:pPr>
            <w:r>
              <w:rPr>
                <w:rFonts w:ascii="Times New Roman"/>
                <w:b w:val="false"/>
                <w:i w:val="false"/>
                <w:color w:val="000000"/>
                <w:sz w:val="20"/>
              </w:rPr>
              <w:t>
(3) Registration certificate for a medicine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At which level the authorization document is issued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central level_____</w:t>
            </w:r>
          </w:p>
          <w:p>
            <w:pPr>
              <w:spacing w:after="20"/>
              <w:ind w:left="20"/>
              <w:jc w:val="both"/>
            </w:pPr>
            <w:r>
              <w:rPr>
                <w:rFonts w:ascii="Times New Roman"/>
                <w:b w:val="false"/>
                <w:i w:val="false"/>
                <w:color w:val="000000"/>
                <w:sz w:val="20"/>
              </w:rPr>
              <w:t>
By the territorial subdivision of the central state body _____</w:t>
            </w:r>
          </w:p>
          <w:p>
            <w:pPr>
              <w:spacing w:after="20"/>
              <w:ind w:left="20"/>
              <w:jc w:val="both"/>
            </w:pPr>
            <w:r>
              <w:rPr>
                <w:rFonts w:ascii="Times New Roman"/>
                <w:b w:val="false"/>
                <w:i w:val="false"/>
                <w:color w:val="000000"/>
                <w:sz w:val="20"/>
              </w:rPr>
              <w:t>
By local executive body _____</w:t>
            </w:r>
          </w:p>
          <w:p>
            <w:pPr>
              <w:spacing w:after="20"/>
              <w:ind w:left="20"/>
              <w:jc w:val="both"/>
            </w:pPr>
            <w:r>
              <w:rPr>
                <w:rFonts w:ascii="Times New Roman"/>
                <w:b w:val="false"/>
                <w:i w:val="false"/>
                <w:color w:val="000000"/>
                <w:sz w:val="20"/>
              </w:rPr>
              <w:t>
By the branch (territorial subdivision) of organization, subordinated to the state body 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of introduction of the authorization document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adoption of the last regulatory legal act establishing the procedure for issuing a permit document. The date of adoption of regulatory legal acts establishing changes in the procedure is not indicated.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Does the legislation provide for maximum deadlines for issuing an authorization document from the moment of filing an application?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___</w:t>
            </w:r>
          </w:p>
          <w:p>
            <w:pPr>
              <w:spacing w:after="20"/>
              <w:ind w:left="20"/>
              <w:jc w:val="both"/>
            </w:pPr>
            <w:r>
              <w:rPr>
                <w:rFonts w:ascii="Times New Roman"/>
                <w:b w:val="false"/>
                <w:i w:val="false"/>
                <w:color w:val="000000"/>
                <w:sz w:val="20"/>
              </w:rPr>
              <w:t>
Yes ___</w:t>
            </w:r>
          </w:p>
          <w:p>
            <w:pPr>
              <w:spacing w:after="20"/>
              <w:ind w:left="20"/>
              <w:jc w:val="both"/>
            </w:pPr>
            <w:r>
              <w:rPr>
                <w:rFonts w:ascii="Times New Roman"/>
                <w:b w:val="false"/>
                <w:i w:val="false"/>
                <w:color w:val="000000"/>
                <w:sz w:val="20"/>
              </w:rPr>
              <w:t>
Number of days ___</w:t>
            </w:r>
          </w:p>
          <w:p>
            <w:pPr>
              <w:spacing w:after="20"/>
              <w:ind w:left="20"/>
              <w:jc w:val="both"/>
            </w:pPr>
            <w:r>
              <w:rPr>
                <w:rFonts w:ascii="Times New Roman"/>
                <w:b w:val="false"/>
                <w:i w:val="false"/>
                <w:color w:val="000000"/>
                <w:sz w:val="20"/>
              </w:rPr>
              <w:t>
Working days ___ calendar days ___ are used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international treaties and article number, on the basis of which the authorization document is issued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Write the full name of the international treaty in accordance with which the authorization document has been introduced, the number and (or) the name of the article (s) or chapter (chapters) of the international treaty determining the need for the introduction of the authorization document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 there a fee for issuing the authorization document? If yes, indicate its size.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___</w:t>
            </w:r>
          </w:p>
          <w:p>
            <w:pPr>
              <w:spacing w:after="20"/>
              <w:ind w:left="20"/>
              <w:jc w:val="both"/>
            </w:pPr>
            <w:r>
              <w:rPr>
                <w:rFonts w:ascii="Times New Roman"/>
                <w:b w:val="false"/>
                <w:i w:val="false"/>
                <w:color w:val="000000"/>
                <w:sz w:val="20"/>
              </w:rPr>
              <w:t>
Yes ___</w:t>
            </w:r>
          </w:p>
          <w:p>
            <w:pPr>
              <w:spacing w:after="20"/>
              <w:ind w:left="20"/>
              <w:jc w:val="both"/>
            </w:pPr>
            <w:r>
              <w:rPr>
                <w:rFonts w:ascii="Times New Roman"/>
                <w:b w:val="false"/>
                <w:i w:val="false"/>
                <w:color w:val="000000"/>
                <w:sz w:val="20"/>
              </w:rPr>
              <w:t>
price ___ tenge/Monthly Calculated Index /other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 of the problem that the introduction of the authorization document should have solved or the problem that it solves today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description of the problem that the authorization document solves or aims to solve should be consistent with the goals for the introduction of the authorization document declared in the legislation of the Republic of Kazakhstan and regulatory legal acts. The description of the problem in this part should not be declarative, but should give a reasoned answer, showing a causal relationship between the declared goal of the introduction (existence) of resolution and the mechanisms for its achievement through resolution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period of the authorization document (for how long is it issued)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Indicate all possible periods of validity of the authorization document in accordance with regulatory legal acts. For example, if a state body issues the authorization document for one year, or 3, or 15 years, the note "from 1 to 15 years." If the validity of the authorization document is not limited, put the mark “unlimited”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number of paragraph, subparagraph and article of codes and laws, decrees of the President of the Republic of Kazakhstan, name of government decrees, orders or other regulatory legal acts of state bodies, on the basis of which an authorization document is issued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Write the full name of the Law of the Republic of Kazakhstan in accordance with which the authorization document was introduced, the article number (s) of the Law of the Republic of Kazakhstan, determining the need for the introduction of the authorization document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authorization documents of this type / subtypes issued for the reporting period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Indicate the number of issued species / subtypes of one authorization document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refusals to issue the authorization document for the reporting period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Indicate the number of refusals to issue the authorization document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Reasons for refusals to issue the authorization document for the reporting period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Indicate the reasons for refusals to issue the authorization document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verifications for compliance with the requirements of the authorization document for the reporting period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Indicate the number of verifications for compliance with the requirements of the authorization document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violations revealed when checking for compliance with the requirements of the authorization document for the reporting period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Indicate the number of violations revealed when checking for compliance with the requirements of the authorization document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penalties imposed and the total amount of fines for violations revealed when checking for compliance with the requirements of the authorization document for the reporting period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penalties imposed ___</w:t>
            </w:r>
          </w:p>
          <w:p>
            <w:pPr>
              <w:spacing w:after="20"/>
              <w:ind w:left="20"/>
              <w:jc w:val="both"/>
            </w:pPr>
            <w:r>
              <w:rPr>
                <w:rFonts w:ascii="Times New Roman"/>
                <w:b w:val="false"/>
                <w:i w:val="false"/>
                <w:color w:val="000000"/>
                <w:sz w:val="20"/>
              </w:rPr>
              <w:t>
The total amount of payments received for fines ___ tenge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complaints filed for violation of the procedure for issuing the authorization document and their results (number of officials held liable for satisfied complaints)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Indicate the number of confirmed (satisfied) complaints and their results issued, suspended, canceled, extended, renewed and terminated permissions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suspended, reissued, canceled, extended, renewed, terminated and devoid of the authorization documents, for the reporting period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suspended ___</w:t>
            </w:r>
          </w:p>
          <w:p>
            <w:pPr>
              <w:spacing w:after="20"/>
              <w:ind w:left="20"/>
              <w:jc w:val="both"/>
            </w:pPr>
            <w:r>
              <w:rPr>
                <w:rFonts w:ascii="Times New Roman"/>
                <w:b w:val="false"/>
                <w:i w:val="false"/>
                <w:color w:val="000000"/>
                <w:sz w:val="20"/>
              </w:rPr>
              <w:t>
The number of reissued ___</w:t>
            </w:r>
          </w:p>
          <w:p>
            <w:pPr>
              <w:spacing w:after="20"/>
              <w:ind w:left="20"/>
              <w:jc w:val="both"/>
            </w:pPr>
            <w:r>
              <w:rPr>
                <w:rFonts w:ascii="Times New Roman"/>
                <w:b w:val="false"/>
                <w:i w:val="false"/>
                <w:color w:val="000000"/>
                <w:sz w:val="20"/>
              </w:rPr>
              <w:t>
The number of cancelled ____</w:t>
            </w:r>
          </w:p>
          <w:p>
            <w:pPr>
              <w:spacing w:after="20"/>
              <w:ind w:left="20"/>
              <w:jc w:val="both"/>
            </w:pPr>
            <w:r>
              <w:rPr>
                <w:rFonts w:ascii="Times New Roman"/>
                <w:b w:val="false"/>
                <w:i w:val="false"/>
                <w:color w:val="000000"/>
                <w:sz w:val="20"/>
              </w:rPr>
              <w:t>
The number of renewed ____</w:t>
            </w:r>
          </w:p>
          <w:p>
            <w:pPr>
              <w:spacing w:after="20"/>
              <w:ind w:left="20"/>
              <w:jc w:val="both"/>
            </w:pPr>
            <w:r>
              <w:rPr>
                <w:rFonts w:ascii="Times New Roman"/>
                <w:b w:val="false"/>
                <w:i w:val="false"/>
                <w:color w:val="000000"/>
                <w:sz w:val="20"/>
              </w:rPr>
              <w:t>
The number of terminated__</w:t>
            </w:r>
          </w:p>
          <w:p>
            <w:pPr>
              <w:spacing w:after="20"/>
              <w:ind w:left="20"/>
              <w:jc w:val="both"/>
            </w:pPr>
            <w:r>
              <w:rPr>
                <w:rFonts w:ascii="Times New Roman"/>
                <w:b w:val="false"/>
                <w:i w:val="false"/>
                <w:color w:val="000000"/>
                <w:sz w:val="20"/>
              </w:rPr>
              <w:t>
The number of devoid 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Reduction of administrative barriers (transfer to a lower level, cancellation of the authorization document, optimization of the terms of issue, requirements for issuing the authorization document)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Indicate the possibilities of reducing the administrative barrier when issuing the authorization document.</w:t>
            </w:r>
          </w:p>
        </w:tc>
      </w:tr>
    </w:tbl>
    <w:bookmarkStart w:name="z81" w:id="76"/>
    <w:p>
      <w:pPr>
        <w:spacing w:after="0"/>
        <w:ind w:left="0"/>
        <w:jc w:val="both"/>
      </w:pPr>
      <w:r>
        <w:rPr>
          <w:rFonts w:ascii="Times New Roman"/>
          <w:b w:val="false"/>
          <w:i w:val="false"/>
          <w:color w:val="000000"/>
          <w:sz w:val="28"/>
        </w:rPr>
        <w:t>
      * This form shall be filled in separately per each authorization document relating to the competence of the state body</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the Rules for the development</w:t>
            </w:r>
            <w:r>
              <w:br/>
            </w:r>
            <w:r>
              <w:rPr>
                <w:rFonts w:ascii="Times New Roman"/>
                <w:b w:val="false"/>
                <w:i w:val="false"/>
                <w:color w:val="000000"/>
                <w:sz w:val="20"/>
              </w:rPr>
              <w:t>and approval of the annual report</w:t>
            </w:r>
            <w:r>
              <w:br/>
            </w:r>
            <w:r>
              <w:rPr>
                <w:rFonts w:ascii="Times New Roman"/>
                <w:b w:val="false"/>
                <w:i w:val="false"/>
                <w:color w:val="000000"/>
                <w:sz w:val="20"/>
              </w:rPr>
              <w:t>on the state of business regulation</w:t>
            </w:r>
            <w:r>
              <w:br/>
            </w:r>
            <w:r>
              <w:rPr>
                <w:rFonts w:ascii="Times New Roman"/>
                <w:b w:val="false"/>
                <w:i w:val="false"/>
                <w:color w:val="000000"/>
                <w:sz w:val="20"/>
              </w:rPr>
              <w:t>in the Republic of Kazakhstan</w:t>
            </w:r>
            <w:r>
              <w:br/>
            </w:r>
            <w:r>
              <w:rPr>
                <w:rFonts w:ascii="Times New Roman"/>
                <w:b w:val="false"/>
                <w:i w:val="false"/>
                <w:color w:val="000000"/>
                <w:sz w:val="20"/>
              </w:rPr>
              <w:t>Form 1</w:t>
            </w:r>
          </w:p>
        </w:tc>
      </w:tr>
    </w:tbl>
    <w:p>
      <w:pPr>
        <w:spacing w:after="0"/>
        <w:ind w:left="0"/>
        <w:jc w:val="left"/>
      </w:pPr>
      <w:r>
        <w:rPr>
          <w:rFonts w:ascii="Times New Roman"/>
          <w:b/>
          <w:i w:val="false"/>
          <w:color w:val="000000"/>
        </w:rPr>
        <w:t xml:space="preserve"> Information of the regulating state body carrying out state control and supervision</w:t>
      </w:r>
      <w:r>
        <w:br/>
      </w:r>
      <w:r>
        <w:rPr>
          <w:rFonts w:ascii="Times New Roman"/>
          <w:b/>
          <w:i w:val="false"/>
          <w:color w:val="000000"/>
        </w:rPr>
        <w:t>________________________________________________________</w:t>
      </w:r>
      <w:r>
        <w:br/>
      </w:r>
      <w:r>
        <w:rPr>
          <w:rFonts w:ascii="Times New Roman"/>
          <w:b/>
          <w:i w:val="false"/>
          <w:color w:val="000000"/>
        </w:rPr>
        <w:t>(name of state body)</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sphere of state control and supervision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 entities in terms of categories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inspections conducted in a special order in relation to business entities / The number of inspections as a result of which no violations were revealed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preventive control and supervision carried out with a visit to a business entity / The number of preventive control and supervision carried out, as a result of which no violations were revealed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inspections carried out on the grounds, stipulated by paragraph 4 of article 129 of the Entrepreneur Code and preventive control and supervision, carried out on the grounds, stipulated by part eleven of paragraph 3 of article 141 of the Entrepreneur Code (indicate in terms of the grounds)/ The number of such inspections and preventive control and supervision carried out, as a result of which no violations were revealed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Small business entities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Micro-business entities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Medium business entities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Large business entities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3" w:id="77"/>
    <w:p>
      <w:pPr>
        <w:spacing w:after="0"/>
        <w:ind w:left="0"/>
        <w:jc w:val="both"/>
      </w:pPr>
      <w:r>
        <w:rPr>
          <w:rFonts w:ascii="Times New Roman"/>
          <w:b w:val="false"/>
          <w:i w:val="false"/>
          <w:color w:val="000000"/>
          <w:sz w:val="28"/>
        </w:rPr>
        <w:t>
      Continuation of the table</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unscheduled inspections conducted in relation to business entities * / The number of inspections as a result of which no violations were revealed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preventive control and supervision carried out without visiting a business entity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suspended / resumed inspections and preventive control and supervision in relation to a business entity (excluding tax audits)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executed/ nonexecuted recommendations, conclusions, certificates, notifications and instructions on the elimination of violations revealed in accordance with the results of preventive control and supervision and inspections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administrative penalties imposed as a result of inspections and the amount of the administrative fine imposed as a result of inspections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acts on the appointment of inspections, the registration of which is refused</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satisfied complaints filed on violation of the procedure for organizing and conducting inspections and preventive control and supervision with visiting and their results (the number of officials prosecuted for liability on satisfied complaints)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4" w:id="78"/>
    <w:p>
      <w:pPr>
        <w:spacing w:after="0"/>
        <w:ind w:left="0"/>
        <w:jc w:val="both"/>
      </w:pPr>
      <w:r>
        <w:rPr>
          <w:rFonts w:ascii="Times New Roman"/>
          <w:b w:val="false"/>
          <w:i w:val="false"/>
          <w:color w:val="000000"/>
          <w:sz w:val="28"/>
        </w:rPr>
        <w:t>
      Form 2</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no.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sphere of state control and supervision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approval and name of the joint orders of the risk assessment system (criteria and checklists), changes and additions to the joint orders of the risk assessment system (criteria and checklists) for the reporting period (if available, indicate the number and date of the order on making amendments and additions)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Decrease or increase in the requirements of checklists for the reporting period (the number of reduced or added requirements with justifications)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Increase or decrease of bona fide business entities, as well as violators compared to the previous period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ea of officials of the state body authorized / assigned to exercise state control and supervision</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positive / negative opinions made as a result of the consideration of the complaint by the appeal commission (if any)</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5" w:id="79"/>
    <w:p>
      <w:pPr>
        <w:spacing w:after="0"/>
        <w:ind w:left="0"/>
        <w:jc w:val="both"/>
      </w:pPr>
      <w:r>
        <w:rPr>
          <w:rFonts w:ascii="Times New Roman"/>
          <w:b w:val="false"/>
          <w:i w:val="false"/>
          <w:color w:val="000000"/>
          <w:sz w:val="28"/>
        </w:rPr>
        <w:t>
      The report of the regulating state body shall be completed in terms of spheres of state control and supervision according to the competence of the regulating state body and in accordance with articles 138 and 139 of the Entrepreneur Code of the Republic of Kazakhstan (hereinafter referred to as the Code) dated October 29, 2015 and is shall be intended for analysis of each sphere of state control and supervision.</w:t>
      </w:r>
    </w:p>
    <w:bookmarkEnd w:id="79"/>
    <w:p>
      <w:pPr>
        <w:spacing w:after="0"/>
        <w:ind w:left="0"/>
        <w:jc w:val="both"/>
      </w:pPr>
      <w:r>
        <w:rPr>
          <w:rFonts w:ascii="Times New Roman"/>
          <w:b w:val="false"/>
          <w:i w:val="false"/>
          <w:color w:val="000000"/>
          <w:sz w:val="28"/>
        </w:rPr>
        <w:t xml:space="preserve">
       The number of unscheduled inspections conducted in relation to business entities is presented in terms of the grounds, stipulated in paragraph 3 of article 144 of the Code.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to the Rules for the development</w:t>
            </w:r>
            <w:r>
              <w:br/>
            </w:r>
            <w:r>
              <w:rPr>
                <w:rFonts w:ascii="Times New Roman"/>
                <w:b w:val="false"/>
                <w:i w:val="false"/>
                <w:color w:val="000000"/>
                <w:sz w:val="20"/>
              </w:rPr>
              <w:t>and approval of the annual report</w:t>
            </w:r>
            <w:r>
              <w:br/>
            </w:r>
            <w:r>
              <w:rPr>
                <w:rFonts w:ascii="Times New Roman"/>
                <w:b w:val="false"/>
                <w:i w:val="false"/>
                <w:color w:val="000000"/>
                <w:sz w:val="20"/>
              </w:rPr>
              <w:t>on the state of business regulation</w:t>
            </w:r>
            <w:r>
              <w:br/>
            </w:r>
            <w:r>
              <w:rPr>
                <w:rFonts w:ascii="Times New Roman"/>
                <w:b w:val="false"/>
                <w:i w:val="false"/>
                <w:color w:val="000000"/>
                <w:sz w:val="20"/>
              </w:rPr>
              <w:t>in the Republic of Kazakhstan</w:t>
            </w:r>
            <w:r>
              <w:br/>
            </w: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Information about information instruments</w:t>
      </w:r>
      <w:r>
        <w:br/>
      </w:r>
      <w:r>
        <w:rPr>
          <w:rFonts w:ascii="Times New Roman"/>
          <w:b/>
          <w:i w:val="false"/>
          <w:color w:val="000000"/>
        </w:rPr>
        <w:t>_______________________________________________</w:t>
      </w:r>
      <w:r>
        <w:br/>
      </w:r>
      <w:r>
        <w:rPr>
          <w:rFonts w:ascii="Times New Roman"/>
          <w:b/>
          <w:i w:val="false"/>
          <w:color w:val="000000"/>
        </w:rPr>
        <w:t>(name of state body/region)</w:t>
      </w:r>
      <w:r>
        <w:br/>
      </w:r>
      <w:r>
        <w:rPr>
          <w:rFonts w:ascii="Times New Roman"/>
          <w:b/>
          <w:i w:val="false"/>
          <w:color w:val="000000"/>
        </w:rPr>
        <w:t>The information instruments shall include submission of documents, notifications and</w:t>
      </w:r>
      <w:r>
        <w:br/>
      </w:r>
      <w:r>
        <w:rPr>
          <w:rFonts w:ascii="Times New Roman"/>
          <w:b/>
          <w:i w:val="false"/>
          <w:color w:val="000000"/>
        </w:rPr>
        <w:t>certificates, fiscal, financial and other reporting, other documents, declaration of the</w:t>
      </w:r>
      <w:r>
        <w:br/>
      </w:r>
      <w:r>
        <w:rPr>
          <w:rFonts w:ascii="Times New Roman"/>
          <w:b/>
          <w:i w:val="false"/>
          <w:color w:val="000000"/>
        </w:rPr>
        <w:t>composition of products, publication of the data of bankruptcy, change in the property of</w:t>
      </w:r>
      <w:r>
        <w:br/>
      </w:r>
      <w:r>
        <w:rPr>
          <w:rFonts w:ascii="Times New Roman"/>
          <w:b/>
          <w:i w:val="false"/>
          <w:color w:val="000000"/>
        </w:rPr>
        <w:t xml:space="preserve">enterprises etc.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no.</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reporting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Reference to the structural element of a regulatory legal act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Periodicity of submission of the reporting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submission of the reporting (electronic format/paper)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Goal of submission of the reporting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Entity, submitting the reporting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Opportunity for optimization of the reporting</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w:t>
            </w:r>
            <w:r>
              <w:br/>
            </w:r>
            <w:r>
              <w:rPr>
                <w:rFonts w:ascii="Times New Roman"/>
                <w:b w:val="false"/>
                <w:i w:val="false"/>
                <w:color w:val="000000"/>
                <w:sz w:val="20"/>
              </w:rPr>
              <w:t>to the Rules for the development</w:t>
            </w:r>
            <w:r>
              <w:br/>
            </w:r>
            <w:r>
              <w:rPr>
                <w:rFonts w:ascii="Times New Roman"/>
                <w:b w:val="false"/>
                <w:i w:val="false"/>
                <w:color w:val="000000"/>
                <w:sz w:val="20"/>
              </w:rPr>
              <w:t>and approval of the annual report</w:t>
            </w:r>
            <w:r>
              <w:br/>
            </w:r>
            <w:r>
              <w:rPr>
                <w:rFonts w:ascii="Times New Roman"/>
                <w:b w:val="false"/>
                <w:i w:val="false"/>
                <w:color w:val="000000"/>
                <w:sz w:val="20"/>
              </w:rPr>
              <w:t>on the state of business regulation</w:t>
            </w:r>
            <w:r>
              <w:br/>
            </w:r>
            <w:r>
              <w:rPr>
                <w:rFonts w:ascii="Times New Roman"/>
                <w:b w:val="false"/>
                <w:i w:val="false"/>
                <w:color w:val="000000"/>
                <w:sz w:val="20"/>
              </w:rPr>
              <w:t>in the Republic of Kazakhstan</w:t>
            </w:r>
            <w:r>
              <w:br/>
            </w: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Information about self-regulatory organizations</w:t>
      </w:r>
      <w:r>
        <w:br/>
      </w:r>
      <w:r>
        <w:rPr>
          <w:rFonts w:ascii="Times New Roman"/>
          <w:b/>
          <w:i w:val="false"/>
          <w:color w:val="000000"/>
        </w:rPr>
        <w:t>________________________________________________________</w:t>
      </w:r>
      <w:r>
        <w:br/>
      </w:r>
      <w:r>
        <w:rPr>
          <w:rFonts w:ascii="Times New Roman"/>
          <w:b/>
          <w:i w:val="false"/>
          <w:color w:val="000000"/>
        </w:rPr>
        <w:t>(name of state body)</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Regulatory areas where self-regulation based on compulsory membership (participation) and / or self-regulatory organizations based on voluntary membership (participation) are introduced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self-regulatory organizations (based on mandatory and voluntary membership (participation) in the analyzed areas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name of self-regulatory organizations indicating the number of members in each self-regulatory organization, as well as their type of activity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list of functions performed by regulatory authorities that are possible to transfer to self-regulation based on compulsory membership (participation)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availability of standards and rules of self-regulatory organizations, agreed in accordance with the Law of the Republic of Kazakhstan dated November 12, 2015 “On self-regulation”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Names of potential areas or activities where self-regulation based on mandatory participation (membership) is possible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complaints received in the reporting year to self-regulatory organizations based on compulsory membership, the amount of damages recovered from the self-regulatory organization based on the results of complaints ______ thousand tenge.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5</w:t>
            </w:r>
            <w:r>
              <w:br/>
            </w:r>
            <w:r>
              <w:rPr>
                <w:rFonts w:ascii="Times New Roman"/>
                <w:b w:val="false"/>
                <w:i w:val="false"/>
                <w:color w:val="000000"/>
                <w:sz w:val="20"/>
              </w:rPr>
              <w:t>to the Rules for the development</w:t>
            </w:r>
            <w:r>
              <w:br/>
            </w:r>
            <w:r>
              <w:rPr>
                <w:rFonts w:ascii="Times New Roman"/>
                <w:b w:val="false"/>
                <w:i w:val="false"/>
                <w:color w:val="000000"/>
                <w:sz w:val="20"/>
              </w:rPr>
              <w:t>and approval of the annual report</w:t>
            </w:r>
            <w:r>
              <w:br/>
            </w:r>
            <w:r>
              <w:rPr>
                <w:rFonts w:ascii="Times New Roman"/>
                <w:b w:val="false"/>
                <w:i w:val="false"/>
                <w:color w:val="000000"/>
                <w:sz w:val="20"/>
              </w:rPr>
              <w:t>on the state of business regulation</w:t>
            </w:r>
            <w:r>
              <w:br/>
            </w:r>
            <w:r>
              <w:rPr>
                <w:rFonts w:ascii="Times New Roman"/>
                <w:b w:val="false"/>
                <w:i w:val="false"/>
                <w:color w:val="000000"/>
                <w:sz w:val="20"/>
              </w:rPr>
              <w:t>in the Republic of Kazakhstan</w:t>
            </w:r>
            <w:r>
              <w:br/>
            </w: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Information about the analysis of regulatory impact*</w:t>
      </w:r>
      <w:r>
        <w:br/>
      </w:r>
      <w:r>
        <w:rPr>
          <w:rFonts w:ascii="Times New Roman"/>
          <w:b/>
          <w:i w:val="false"/>
          <w:color w:val="000000"/>
        </w:rPr>
        <w:t>________________________________________</w:t>
      </w:r>
      <w:r>
        <w:br/>
      </w:r>
      <w:r>
        <w:rPr>
          <w:rFonts w:ascii="Times New Roman"/>
          <w:b/>
          <w:i w:val="false"/>
          <w:color w:val="000000"/>
        </w:rPr>
        <w:t>(name of state body)</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regulatory instrument and (or) regulatory tightening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document, within the framework of which the regulatory instrument was introduced and (or) regulatory tightening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opinions received on compliance with regulatory impact analysis procedures, with the exception of draft acts of regional significance (indicates the total number of opinions, including positive)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obtaining a negative opinion (Columns are to be filled out for each conclusion)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Lack of public discussions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Lack of costs (monetization)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Lack of alternative approaches for regulation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an alternative regulatory impact analysis (by whom and when)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the outcome of the consideration by the MDC of the introduction of a new regulatory instrument or the tightening of regulation (date and protocol number)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entry into force of a regulatory instrument or regulatory tightening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Calculation of costs (monetization) from the introduced regulatory instrument or regulatory tightening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Regulatory impact analysis is carried out as part of the implementation of the review plan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___</w:t>
            </w:r>
          </w:p>
          <w:p>
            <w:pPr>
              <w:spacing w:after="20"/>
              <w:ind w:left="20"/>
              <w:jc w:val="both"/>
            </w:pPr>
            <w:r>
              <w:rPr>
                <w:rFonts w:ascii="Times New Roman"/>
                <w:b w:val="false"/>
                <w:i w:val="false"/>
                <w:color w:val="000000"/>
                <w:sz w:val="20"/>
              </w:rPr>
              <w:t>
Yes ___</w:t>
            </w:r>
          </w:p>
        </w:tc>
      </w:tr>
    </w:tbl>
    <w:bookmarkStart w:name="z89" w:id="80"/>
    <w:p>
      <w:pPr>
        <w:spacing w:after="0"/>
        <w:ind w:left="0"/>
        <w:jc w:val="both"/>
      </w:pPr>
      <w:r>
        <w:rPr>
          <w:rFonts w:ascii="Times New Roman"/>
          <w:b w:val="false"/>
          <w:i w:val="false"/>
          <w:color w:val="000000"/>
          <w:sz w:val="28"/>
        </w:rPr>
        <w:t>
      *To be filled in per each requirement</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6</w:t>
            </w:r>
            <w:r>
              <w:br/>
            </w:r>
            <w:r>
              <w:rPr>
                <w:rFonts w:ascii="Times New Roman"/>
                <w:b w:val="false"/>
                <w:i w:val="false"/>
                <w:color w:val="000000"/>
                <w:sz w:val="20"/>
              </w:rPr>
              <w:t>to the Rules for the development</w:t>
            </w:r>
            <w:r>
              <w:br/>
            </w:r>
            <w:r>
              <w:rPr>
                <w:rFonts w:ascii="Times New Roman"/>
                <w:b w:val="false"/>
                <w:i w:val="false"/>
                <w:color w:val="000000"/>
                <w:sz w:val="20"/>
              </w:rPr>
              <w:t>and approval of the annual report</w:t>
            </w:r>
            <w:r>
              <w:br/>
            </w:r>
            <w:r>
              <w:rPr>
                <w:rFonts w:ascii="Times New Roman"/>
                <w:b w:val="false"/>
                <w:i w:val="false"/>
                <w:color w:val="000000"/>
                <w:sz w:val="20"/>
              </w:rPr>
              <w:t>on the state of business regulation</w:t>
            </w:r>
            <w:r>
              <w:br/>
            </w:r>
            <w:r>
              <w:rPr>
                <w:rFonts w:ascii="Times New Roman"/>
                <w:b w:val="false"/>
                <w:i w:val="false"/>
                <w:color w:val="000000"/>
                <w:sz w:val="20"/>
              </w:rPr>
              <w:t>in the Republic of Kazakhstan</w:t>
            </w:r>
            <w:r>
              <w:br/>
            </w: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Information on the issued conclusions on compliance by developers of draft acts of regional</w:t>
      </w:r>
      <w:r>
        <w:br/>
      </w:r>
      <w:r>
        <w:rPr>
          <w:rFonts w:ascii="Times New Roman"/>
          <w:b/>
          <w:i w:val="false"/>
          <w:color w:val="000000"/>
        </w:rPr>
        <w:t>importance, the regional chamber and other concerned parties with established procedures</w:t>
      </w:r>
      <w:r>
        <w:br/>
      </w:r>
      <w:r>
        <w:rPr>
          <w:rFonts w:ascii="Times New Roman"/>
          <w:b/>
          <w:i w:val="false"/>
          <w:color w:val="000000"/>
        </w:rPr>
        <w:t>____________________________________________________________</w:t>
      </w:r>
      <w:r>
        <w:br/>
      </w:r>
      <w:r>
        <w:rPr>
          <w:rFonts w:ascii="Times New Roman"/>
          <w:b/>
          <w:i w:val="false"/>
          <w:color w:val="000000"/>
        </w:rPr>
        <w:t>(name of the local executive body of the region, city of republican significance, capital,</w:t>
      </w:r>
      <w:r>
        <w:br/>
      </w:r>
      <w:r>
        <w:rPr>
          <w:rFonts w:ascii="Times New Roman"/>
          <w:b/>
          <w:i w:val="false"/>
          <w:color w:val="000000"/>
        </w:rPr>
        <w:t>carrying out management in the sphere of business)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issued opinions on compliance with regulatory impact analysis procedures (indicating the number of positive and negative opinions)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issued conclusions on compliance with regulatory impact analysis procedures when planning the introduction of a regulatory instrument or regulatory tightening (indicating the number of positive and negative conclusions)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issued opinions on compliance with regulatory impact analysis procedures as part of the implementation of the review plan (indicating the number of positive and negative opinions)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regulatory instruments approved by the advisory body under the akimat of the region, city of republican significance, the capital on the interdepartmental nature of regulation or regulatory tightening (date and protocol 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entry into force of a regulatory instrument or regulatory tightening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