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e879" w14:textId="675e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and control over external and internal loans of the quasi-public sector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210 dated April 20, 2018.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pursuance of Article 199 of the Budget Code of the Republic of Kazakhstan,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 1100 of the Government of the Republic of Kazakhstan dated 29.12.2022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monitoring and control over external and internal loans of quasi-public sector.</w:t>
      </w:r>
    </w:p>
    <w:p>
      <w:pPr>
        <w:spacing w:after="0"/>
        <w:ind w:left="0"/>
        <w:jc w:val="both"/>
      </w:pPr>
      <w:r>
        <w:rPr>
          <w:rFonts w:ascii="Times New Roman"/>
          <w:b w:val="false"/>
          <w:i w:val="false"/>
          <w:color w:val="000000"/>
          <w:sz w:val="28"/>
        </w:rPr>
        <w:t>
      2. This decree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210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20, 2018</w:t>
            </w:r>
          </w:p>
        </w:tc>
      </w:tr>
    </w:tbl>
    <w:p>
      <w:pPr>
        <w:spacing w:after="0"/>
        <w:ind w:left="0"/>
        <w:jc w:val="left"/>
      </w:pPr>
      <w:r>
        <w:rPr>
          <w:rFonts w:ascii="Times New Roman"/>
          <w:b/>
          <w:i w:val="false"/>
          <w:color w:val="000000"/>
        </w:rPr>
        <w:t xml:space="preserve"> Rules for monitoring and control over external and internal loans of quasi-public sector</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monitoring and control over external and internal loans of the quasi-public sector (hereinafter -the Rules) have been developed in pursuance of Article 199 of the Budget Code of the Republic of Kazakhstan and establish the procedure for monitoring and control over external and internal loans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 1100 of the Government of the Republic of Kazakhstan dated 29.12.2022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are purposed to monitoring of the state of external and internal debt of the quasi-public sector and control over compliance with the restrictions established by the Concept of Public Finance Management of the Republic of Kazakhstan until 2030.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Resolution № 1100 of the Government of the Republic of Kazakhstan dated 29.12.2022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Basic terms used in these Rules shall be as follows:</w:t>
      </w:r>
    </w:p>
    <w:p>
      <w:pPr>
        <w:spacing w:after="0"/>
        <w:ind w:left="0"/>
        <w:jc w:val="both"/>
      </w:pPr>
      <w:r>
        <w:rPr>
          <w:rFonts w:ascii="Times New Roman"/>
          <w:b w:val="false"/>
          <w:i w:val="false"/>
          <w:color w:val="000000"/>
          <w:sz w:val="28"/>
        </w:rPr>
        <w:t>
      1) development plan - a document that defines the main activity areas and indicators of financial and economic activities of a state enterprise, joint-stock company and limited liability partnership, whose controlling stake (share in the authorized capital) is held by the state, for a five-year term;</w:t>
      </w:r>
    </w:p>
    <w:p>
      <w:pPr>
        <w:spacing w:after="0"/>
        <w:ind w:left="0"/>
        <w:jc w:val="both"/>
      </w:pPr>
      <w:r>
        <w:rPr>
          <w:rFonts w:ascii="Times New Roman"/>
          <w:b w:val="false"/>
          <w:i w:val="false"/>
          <w:color w:val="000000"/>
          <w:sz w:val="28"/>
        </w:rPr>
        <w:t>
      2) external loan of subjects of quasi-public sector – a loan, in which the lender is a non-resident of the Republic of Kazakhstan;</w:t>
      </w:r>
    </w:p>
    <w:p>
      <w:pPr>
        <w:spacing w:after="0"/>
        <w:ind w:left="0"/>
        <w:jc w:val="both"/>
      </w:pPr>
      <w:r>
        <w:rPr>
          <w:rFonts w:ascii="Times New Roman"/>
          <w:b w:val="false"/>
          <w:i w:val="false"/>
          <w:color w:val="000000"/>
          <w:sz w:val="28"/>
        </w:rPr>
        <w:t>
      3) internal loan of subjects of quasi-public sector – a loan, in which the lender is a resident of the Republic of Kazakhstan;</w:t>
      </w:r>
    </w:p>
    <w:p>
      <w:pPr>
        <w:spacing w:after="0"/>
        <w:ind w:left="0"/>
        <w:jc w:val="both"/>
      </w:pPr>
      <w:r>
        <w:rPr>
          <w:rFonts w:ascii="Times New Roman"/>
          <w:b w:val="false"/>
          <w:i w:val="false"/>
          <w:color w:val="000000"/>
          <w:sz w:val="28"/>
        </w:rPr>
        <w:t>
      4) loan – credits, loans, debt securities, and other debt liabilities attracted from domestic and foreign markets;</w:t>
      </w:r>
    </w:p>
    <w:p>
      <w:pPr>
        <w:spacing w:after="0"/>
        <w:ind w:left="0"/>
        <w:jc w:val="both"/>
      </w:pPr>
      <w:r>
        <w:rPr>
          <w:rFonts w:ascii="Times New Roman"/>
          <w:b w:val="false"/>
          <w:i w:val="false"/>
          <w:color w:val="000000"/>
          <w:sz w:val="28"/>
        </w:rPr>
        <w:t>
      5) borrower - a subject of  quasi-public sector;</w:t>
      </w:r>
    </w:p>
    <w:p>
      <w:pPr>
        <w:spacing w:after="0"/>
        <w:ind w:left="0"/>
        <w:jc w:val="both"/>
      </w:pPr>
      <w:r>
        <w:rPr>
          <w:rFonts w:ascii="Times New Roman"/>
          <w:b w:val="false"/>
          <w:i w:val="false"/>
          <w:color w:val="000000"/>
          <w:sz w:val="28"/>
        </w:rPr>
        <w:t>
      6) register of state property (hereinafter - the register) - a unified automated information system of  state property accounting, with the exception of property under the management of special state bodies, the Armed Forces, other troops and military formations of the Republic of Kazakhstan, and the state material reserve;</w:t>
      </w:r>
    </w:p>
    <w:p>
      <w:pPr>
        <w:spacing w:after="0"/>
        <w:ind w:left="0"/>
        <w:jc w:val="both"/>
      </w:pPr>
      <w:r>
        <w:rPr>
          <w:rFonts w:ascii="Times New Roman"/>
          <w:b w:val="false"/>
          <w:i w:val="false"/>
          <w:color w:val="000000"/>
          <w:sz w:val="28"/>
        </w:rPr>
        <w:t>
      7) external debt – amount on a specific date of the received and outstanding amounts of borrower loans to non-residents of the Republic of Kazakhstan;</w:t>
      </w:r>
    </w:p>
    <w:p>
      <w:pPr>
        <w:spacing w:after="0"/>
        <w:ind w:left="0"/>
        <w:jc w:val="both"/>
      </w:pPr>
      <w:r>
        <w:rPr>
          <w:rFonts w:ascii="Times New Roman"/>
          <w:b w:val="false"/>
          <w:i w:val="false"/>
          <w:color w:val="000000"/>
          <w:sz w:val="28"/>
        </w:rPr>
        <w:t>
      7-1) action plan - a document that defines the main activity areas and indicators of the financial and economic activities of the national managing holding, the national holding and the national company for a five-year term;</w:t>
      </w:r>
    </w:p>
    <w:p>
      <w:pPr>
        <w:spacing w:after="0"/>
        <w:ind w:left="0"/>
        <w:jc w:val="both"/>
      </w:pPr>
      <w:r>
        <w:rPr>
          <w:rFonts w:ascii="Times New Roman"/>
          <w:b w:val="false"/>
          <w:i w:val="false"/>
          <w:color w:val="000000"/>
          <w:sz w:val="28"/>
        </w:rPr>
        <w:t>
      8) internal debt – amount on a specific date of the received and outstanding amounts of borrower loans to 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Resolution № 1100 of the Government of the Republic of Kazakhstan dated 29.12.2022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exercising the monitoring</w:t>
      </w:r>
    </w:p>
    <w:p>
      <w:pPr>
        <w:spacing w:after="0"/>
        <w:ind w:left="0"/>
        <w:jc w:val="both"/>
      </w:pPr>
      <w:r>
        <w:rPr>
          <w:rFonts w:ascii="Times New Roman"/>
          <w:b w:val="false"/>
          <w:i w:val="false"/>
          <w:color w:val="000000"/>
          <w:sz w:val="28"/>
        </w:rPr>
        <w:t>
      4. Monitoring of the current state of external and internal debt of borrowers shall be carried out within the development plans and action plans.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Resolution № 1100 of the Government of the Republic of Kazakhstan dated 29.12.2022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Registration and accounting of receipts of internal and external loans, payments for repayment and debt servicing shall be carried out by borrowers independently.</w:t>
      </w:r>
    </w:p>
    <w:p>
      <w:pPr>
        <w:spacing w:after="0"/>
        <w:ind w:left="0"/>
        <w:jc w:val="both"/>
      </w:pPr>
      <w:r>
        <w:rPr>
          <w:rFonts w:ascii="Times New Roman"/>
          <w:b w:val="false"/>
          <w:i w:val="false"/>
          <w:color w:val="000000"/>
          <w:sz w:val="28"/>
        </w:rPr>
        <w:t>
      6. Accounting of payments, the balance of the debt shall be made at nominal value. Accounting of debt securities shall be made based on the results of initial placement and nominal value.</w:t>
      </w:r>
    </w:p>
    <w:p>
      <w:pPr>
        <w:spacing w:after="0"/>
        <w:ind w:left="0"/>
        <w:jc w:val="both"/>
      </w:pPr>
      <w:r>
        <w:rPr>
          <w:rFonts w:ascii="Times New Roman"/>
          <w:b w:val="false"/>
          <w:i w:val="false"/>
          <w:color w:val="000000"/>
          <w:sz w:val="28"/>
        </w:rPr>
        <w:t>
      7. On a quarterly basis, before the 10th day of the month following the reporting month, the borrowers shall file information on loans indicating the plan for attracting loans for the upcoming five-year term to the register in electronic form according to:</w:t>
      </w:r>
    </w:p>
    <w:p>
      <w:pPr>
        <w:spacing w:after="0"/>
        <w:ind w:left="0"/>
        <w:jc w:val="both"/>
      </w:pPr>
      <w:r>
        <w:rPr>
          <w:rFonts w:ascii="Times New Roman"/>
          <w:b w:val="false"/>
          <w:i w:val="false"/>
          <w:color w:val="000000"/>
          <w:sz w:val="28"/>
        </w:rPr>
        <w:t>
      Form 10 of Appendix 2 to the Rules for the development, approval of action plans for national managing holdings, national holdings, national companies, in which the state is a shareholder, as well as monitoring and evaluation of their execution, approved by the order of the Minister of National Economy of the Republic of Kazakhstan dated February 27, 2015 № 149 (registered in the Register of State Registration of Regulatory Legal Acts under № 10663), with the exception of the National Welfare Fund Samruk-Kazyna joint-stock company (hereinafter -the Fund);</w:t>
      </w:r>
    </w:p>
    <w:p>
      <w:pPr>
        <w:spacing w:after="0"/>
        <w:ind w:left="0"/>
        <w:jc w:val="both"/>
      </w:pPr>
      <w:r>
        <w:rPr>
          <w:rFonts w:ascii="Times New Roman"/>
          <w:b w:val="false"/>
          <w:i w:val="false"/>
          <w:color w:val="000000"/>
          <w:sz w:val="28"/>
        </w:rPr>
        <w:t>
      Appendix 26 to the Rules for the development, approval of development plans for state-controlled joint stock companies and limited liability partnerships, state enterprises, monitoring and evaluation of their execution, as well as the development and submission of reports on their execution, approved by the order of the Minister of National Economy of the Republic of Kazakhstan dated February 14, 2019 № 14 (registered in the Register of State Registration of Regulatory Legal Acts under № 18328).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Resolution № 1100 of the Government of the Republic of Kazakhstan dated 29.12.2022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Fund shall, every quarter, before the 25th day of the month following the reporting month, post information on loans indicating the plan for attracting loans for the upcoming five-year period on the Fund’s Internet resource in accordance with Form 1, approved by order of the Minister of National Economy of the Republic of Kazakhstan dated May 26, 2023, № 87 “On approval of the Rules for posting reports required by government bodies on the Internet resource of the National Welfare Fund, as well as the list, forms and frequency of posting reports” (registered in the State Register of Normative Legal Acts under № 32612).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Decree of the Government of the Republic of Kazakhstan dated 27.07.2023 № 615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Borrowers shall submit to the central authorized body for budget implementation on a quarterly basis an analytical note containing information on debt and on a half-year basis an adjusted forecast of external and internal borrowing for the current year.</w:t>
      </w:r>
    </w:p>
    <w:p>
      <w:pPr>
        <w:spacing w:after="0"/>
        <w:ind w:left="0"/>
        <w:jc w:val="both"/>
      </w:pPr>
      <w:r>
        <w:rPr>
          <w:rFonts w:ascii="Times New Roman"/>
          <w:b w:val="false"/>
          <w:i w:val="false"/>
          <w:color w:val="000000"/>
          <w:sz w:val="28"/>
        </w:rPr>
        <w:t>
      In case of amendments of the plans for attraction of loans for the next five-year period, the borrowers shall coordinate these amendments with the central authorized body for budget implementation.</w:t>
      </w:r>
    </w:p>
    <w:p>
      <w:pPr>
        <w:spacing w:after="0"/>
        <w:ind w:left="0"/>
        <w:jc w:val="both"/>
      </w:pPr>
      <w:r>
        <w:rPr>
          <w:rFonts w:ascii="Times New Roman"/>
          <w:b w:val="false"/>
          <w:i w:val="false"/>
          <w:color w:val="000000"/>
          <w:sz w:val="28"/>
        </w:rPr>
        <w:t>
      10. The authorized body for state property shall send an executive summary on loans to the central authorized body for budget implementation, within the period no later than the 5th day of the second month after the accounting period.</w:t>
      </w:r>
    </w:p>
    <w:p>
      <w:pPr>
        <w:spacing w:after="0"/>
        <w:ind w:left="0"/>
        <w:jc w:val="both"/>
      </w:pPr>
      <w:r>
        <w:rPr>
          <w:rFonts w:ascii="Times New Roman"/>
          <w:b w:val="false"/>
          <w:i w:val="false"/>
          <w:color w:val="000000"/>
          <w:sz w:val="28"/>
        </w:rPr>
        <w:t>
      11. The executive summary on loans shall include:</w:t>
      </w:r>
    </w:p>
    <w:p>
      <w:pPr>
        <w:spacing w:after="0"/>
        <w:ind w:left="0"/>
        <w:jc w:val="both"/>
      </w:pPr>
      <w:r>
        <w:rPr>
          <w:rFonts w:ascii="Times New Roman"/>
          <w:b w:val="false"/>
          <w:i w:val="false"/>
          <w:color w:val="000000"/>
          <w:sz w:val="28"/>
        </w:rPr>
        <w:t>
      1) Data on condition of the loan of the borrowers as of the first day of the month following the accounting period;</w:t>
      </w:r>
    </w:p>
    <w:p>
      <w:pPr>
        <w:spacing w:after="0"/>
        <w:ind w:left="0"/>
        <w:jc w:val="both"/>
      </w:pPr>
      <w:r>
        <w:rPr>
          <w:rFonts w:ascii="Times New Roman"/>
          <w:b w:val="false"/>
          <w:i w:val="false"/>
          <w:color w:val="000000"/>
          <w:sz w:val="28"/>
        </w:rPr>
        <w:t>
      2) Data on condition of the issued debt securities, as well as budget credits and other debt obligations (date of placement, interest rate, maturity date, term of circulation, currency of issue and servicing);</w:t>
      </w:r>
    </w:p>
    <w:p>
      <w:pPr>
        <w:spacing w:after="0"/>
        <w:ind w:left="0"/>
        <w:jc w:val="both"/>
      </w:pPr>
      <w:r>
        <w:rPr>
          <w:rFonts w:ascii="Times New Roman"/>
          <w:b w:val="false"/>
          <w:i w:val="false"/>
          <w:color w:val="000000"/>
          <w:sz w:val="28"/>
        </w:rPr>
        <w:t>
      3) Data on the actual receipt of loans, payments made on the repayment and servicing of loans in the accounting period, including data on the availability of overdue payments and their payment;</w:t>
      </w:r>
    </w:p>
    <w:p>
      <w:pPr>
        <w:spacing w:after="0"/>
        <w:ind w:left="0"/>
        <w:jc w:val="both"/>
      </w:pPr>
      <w:r>
        <w:rPr>
          <w:rFonts w:ascii="Times New Roman"/>
          <w:b w:val="false"/>
          <w:i w:val="false"/>
          <w:color w:val="000000"/>
          <w:sz w:val="28"/>
        </w:rPr>
        <w:t>
      4) Information about the attraction of loans in the accounting period;</w:t>
      </w:r>
    </w:p>
    <w:p>
      <w:pPr>
        <w:spacing w:after="0"/>
        <w:ind w:left="0"/>
        <w:jc w:val="both"/>
      </w:pPr>
      <w:r>
        <w:rPr>
          <w:rFonts w:ascii="Times New Roman"/>
          <w:b w:val="false"/>
          <w:i w:val="false"/>
          <w:color w:val="000000"/>
          <w:sz w:val="28"/>
        </w:rPr>
        <w:t>
      5) plan of attraction of loans for the next five-year period.</w:t>
      </w:r>
    </w:p>
    <w:p>
      <w:pPr>
        <w:spacing w:after="0"/>
        <w:ind w:left="0"/>
        <w:jc w:val="left"/>
      </w:pPr>
      <w:r>
        <w:rPr>
          <w:rFonts w:ascii="Times New Roman"/>
          <w:b/>
          <w:i w:val="false"/>
          <w:color w:val="000000"/>
        </w:rPr>
        <w:t xml:space="preserve"> Chapter 3. Procedure for exercising the control</w:t>
      </w:r>
    </w:p>
    <w:p>
      <w:pPr>
        <w:spacing w:after="0"/>
        <w:ind w:left="0"/>
        <w:jc w:val="both"/>
      </w:pPr>
      <w:r>
        <w:rPr>
          <w:rFonts w:ascii="Times New Roman"/>
          <w:b w:val="false"/>
          <w:i w:val="false"/>
          <w:color w:val="000000"/>
          <w:sz w:val="28"/>
        </w:rPr>
        <w:t>
      12. Quarterly, basing on the information on the state of the public debt, the central authorized body for budget execution shall monitor compliance with the following debt restrictions provided for by the Concept of Public Finance Management of the Republic of Kazakhstan until 2030:</w:t>
      </w:r>
    </w:p>
    <w:p>
      <w:pPr>
        <w:spacing w:after="0"/>
        <w:ind w:left="0"/>
        <w:jc w:val="both"/>
      </w:pPr>
      <w:r>
        <w:rPr>
          <w:rFonts w:ascii="Times New Roman"/>
          <w:b w:val="false"/>
          <w:i w:val="false"/>
          <w:color w:val="000000"/>
          <w:sz w:val="28"/>
        </w:rPr>
        <w:t>
      1) The threshold of the government debt and the debt of the quasi-public sector shall be no more than 53.2% of the gross domestic product in aggregate, including the threshold of the debt of the quasi-public sector that shall be no more than 21.2% of the gross domestic product. The calculation of the debt threshold shall not include mutual liabilities of state-controlled entities and liabilities of non-resident controlled entities;</w:t>
      </w:r>
    </w:p>
    <w:p>
      <w:pPr>
        <w:spacing w:after="0"/>
        <w:ind w:left="0"/>
        <w:jc w:val="both"/>
      </w:pPr>
      <w:r>
        <w:rPr>
          <w:rFonts w:ascii="Times New Roman"/>
          <w:b w:val="false"/>
          <w:i w:val="false"/>
          <w:color w:val="000000"/>
          <w:sz w:val="28"/>
        </w:rPr>
        <w:t>
      2) the volume of the external debt of the Government (taking into account the external debt guaranteed by the state) and the external debt of the quasi-public sector entities shall not exceed the amount equal to 75% of the amount of the currency assets of the National Fund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Resolution № 1100 of the Government of the Republic of Kazakhstan dated 29.12.2022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calculation of the debt of quasi-public sector shall be formed by the central authorized body for budget implementation on the basis of:</w:t>
      </w:r>
    </w:p>
    <w:p>
      <w:pPr>
        <w:spacing w:after="0"/>
        <w:ind w:left="0"/>
        <w:jc w:val="both"/>
      </w:pPr>
      <w:r>
        <w:rPr>
          <w:rFonts w:ascii="Times New Roman"/>
          <w:b w:val="false"/>
          <w:i w:val="false"/>
          <w:color w:val="000000"/>
          <w:sz w:val="28"/>
        </w:rPr>
        <w:t>
      Information about current condition of the state and guaranteed by the state debt;</w:t>
      </w:r>
    </w:p>
    <w:p>
      <w:pPr>
        <w:spacing w:after="0"/>
        <w:ind w:left="0"/>
        <w:jc w:val="both"/>
      </w:pPr>
      <w:r>
        <w:rPr>
          <w:rFonts w:ascii="Times New Roman"/>
          <w:b w:val="false"/>
          <w:i w:val="false"/>
          <w:color w:val="000000"/>
          <w:sz w:val="28"/>
        </w:rPr>
        <w:t>
      Information about current condition of the debt of the borrowers;</w:t>
      </w:r>
    </w:p>
    <w:p>
      <w:pPr>
        <w:spacing w:after="0"/>
        <w:ind w:left="0"/>
        <w:jc w:val="both"/>
      </w:pPr>
      <w:r>
        <w:rPr>
          <w:rFonts w:ascii="Times New Roman"/>
          <w:b w:val="false"/>
          <w:i w:val="false"/>
          <w:color w:val="000000"/>
          <w:sz w:val="28"/>
        </w:rPr>
        <w:t>
      Macroeconomic indicators of the forecast of social-economic development (gross domestic product, currency assets of the National Fund of the Republic of Kazakhstan, the level of inflation, earnings-growth rates).</w:t>
      </w:r>
    </w:p>
    <w:p>
      <w:pPr>
        <w:spacing w:after="0"/>
        <w:ind w:left="0"/>
        <w:jc w:val="both"/>
      </w:pPr>
      <w:r>
        <w:rPr>
          <w:rFonts w:ascii="Times New Roman"/>
          <w:b w:val="false"/>
          <w:i w:val="false"/>
          <w:color w:val="000000"/>
          <w:sz w:val="28"/>
        </w:rPr>
        <w:t>
      14. The central authorized body for budget implementation on a quarterly basis no later than the 10th day of the second month following the accounting period shall send information about the condition of the debt of the borrowers and compliance with the debt limits to the Government of the Republic of Kazakhstan and the central authorized body for state planning.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