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8f4e" w14:textId="ce38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transfer of State property from Republican property to Communal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8 dated January 24, 2019</w:t>
      </w:r>
    </w:p>
    <w:p>
      <w:pPr>
        <w:spacing w:after="0"/>
        <w:ind w:left="0"/>
        <w:jc w:val="both"/>
      </w:pPr>
      <w:r>
        <w:rPr>
          <w:rFonts w:ascii="Times New Roman"/>
          <w:b w:val="false"/>
          <w:i w:val="false"/>
          <w:color w:val="000000"/>
          <w:sz w:val="28"/>
        </w:rPr>
        <w:t>
      Decree of the Government of the Republic of Kazakhstan No. 8 dated January 24,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June 1, 2011 No. 616 “On approval of the Rules for transfer of State property assigned to State Legal Entities from one type of State property to another”,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Transfer from the Republican property from the balance of the Republican State Institution “Committee on Construction, Housing and Communal Services of the Ministry of Industry and Infrastructure Development of the Republic of Kazakhstan” property to the Communal property of regions in accordance with the </w:t>
      </w:r>
      <w:r>
        <w:rPr>
          <w:rFonts w:ascii="Times New Roman"/>
          <w:b w:val="false"/>
          <w:i w:val="false"/>
          <w:color w:val="000000"/>
          <w:sz w:val="28"/>
        </w:rPr>
        <w:t>Appendix</w:t>
      </w:r>
      <w:r>
        <w:rPr>
          <w:rFonts w:ascii="Times New Roman"/>
          <w:b w:val="false"/>
          <w:i w:val="false"/>
          <w:color w:val="000000"/>
          <w:sz w:val="28"/>
        </w:rPr>
        <w:t xml:space="preserve"> to this Decree (hereinafter referred to as the property). </w:t>
      </w:r>
    </w:p>
    <w:bookmarkEnd w:id="1"/>
    <w:bookmarkStart w:name="z3" w:id="2"/>
    <w:p>
      <w:pPr>
        <w:spacing w:after="0"/>
        <w:ind w:left="0"/>
        <w:jc w:val="both"/>
      </w:pPr>
      <w:r>
        <w:rPr>
          <w:rFonts w:ascii="Times New Roman"/>
          <w:b w:val="false"/>
          <w:i w:val="false"/>
          <w:color w:val="000000"/>
          <w:sz w:val="28"/>
        </w:rPr>
        <w:t>
      2. The Committee for State Property and Privatization of the Ministry of Finance of the Republic of Kazakhstan, together with the Committee for Construction and Housing and Communal Services of the Ministry of Industry and Infrastructure Development of the Republic of Kazakhstan and the Akimats of regions, in the manner prescribed by law, carry out the necessary organizational measures for reception and transfer of property.</w:t>
      </w:r>
    </w:p>
    <w:bookmarkEnd w:id="2"/>
    <w:bookmarkStart w:name="z4" w:id="3"/>
    <w:p>
      <w:pPr>
        <w:spacing w:after="0"/>
        <w:ind w:left="0"/>
        <w:jc w:val="both"/>
      </w:pPr>
      <w:r>
        <w:rPr>
          <w:rFonts w:ascii="Times New Roman"/>
          <w:b w:val="false"/>
          <w:i w:val="false"/>
          <w:color w:val="000000"/>
          <w:sz w:val="28"/>
        </w:rPr>
        <w:t>
      3. This Decree shall be enforced from its signing.</w:t>
      </w:r>
    </w:p>
    <w:bookmarkEnd w:id="3"/>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8 dated January 24, 2019 </w:t>
            </w:r>
          </w:p>
        </w:tc>
      </w:tr>
    </w:tbl>
    <w:bookmarkStart w:name="z6" w:id="4"/>
    <w:p>
      <w:pPr>
        <w:spacing w:after="0"/>
        <w:ind w:left="0"/>
        <w:jc w:val="left"/>
      </w:pPr>
      <w:r>
        <w:rPr>
          <w:rFonts w:ascii="Times New Roman"/>
          <w:b/>
          <w:i w:val="false"/>
          <w:color w:val="000000"/>
        </w:rPr>
        <w:t xml:space="preserve"> The list of property transferred from the Republican property from the balance</w:t>
      </w:r>
      <w:r>
        <w:br/>
      </w:r>
      <w:r>
        <w:rPr>
          <w:rFonts w:ascii="Times New Roman"/>
          <w:b/>
          <w:i w:val="false"/>
          <w:color w:val="000000"/>
        </w:rPr>
        <w:t>of the Republican State Institution “Committee for Construction, Housing and Communal</w:t>
      </w:r>
      <w:r>
        <w:br/>
      </w:r>
      <w:r>
        <w:rPr>
          <w:rFonts w:ascii="Times New Roman"/>
          <w:b/>
          <w:i w:val="false"/>
          <w:color w:val="000000"/>
        </w:rPr>
        <w:t xml:space="preserve">Services of the Ministry of Industry and Infrastructure Development of the Republic of </w:t>
      </w:r>
      <w:r>
        <w:br/>
      </w:r>
      <w:r>
        <w:rPr>
          <w:rFonts w:ascii="Times New Roman"/>
          <w:b/>
          <w:i w:val="false"/>
          <w:color w:val="000000"/>
        </w:rPr>
        <w:t>Kazakhstan” to the Communal property of regions on the justification of investments for heat</w:t>
      </w:r>
      <w:r>
        <w:br/>
      </w:r>
      <w:r>
        <w:rPr>
          <w:rFonts w:ascii="Times New Roman"/>
          <w:b/>
          <w:i w:val="false"/>
          <w:color w:val="000000"/>
        </w:rPr>
        <w:t xml:space="preserve">supply systems of cities: Zyryanovsk, Uralsk and a centralized technical survey of heating systems of Semey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989"/>
        <w:gridCol w:w="1210"/>
        <w:gridCol w:w="1184"/>
        <w:gridCol w:w="1142"/>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documentation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pages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investments “Justification of investments for heat supply system of Zyryanovsk”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explanatory note</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1.1 </w:t>
            </w:r>
            <w:r>
              <w:br/>
            </w:r>
            <w:r>
              <w:rPr>
                <w:rFonts w:ascii="Times New Roman"/>
                <w:b w:val="false"/>
                <w:i w:val="false"/>
                <w:color w:val="000000"/>
                <w:sz w:val="20"/>
              </w:rPr>
              <w:t>
Part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explanatory note</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1.1 </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Appendix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1.2 </w:t>
            </w:r>
            <w:r>
              <w:br/>
            </w:r>
            <w:r>
              <w:rPr>
                <w:rFonts w:ascii="Times New Roman"/>
                <w:b w:val="false"/>
                <w:i w:val="false"/>
                <w:color w:val="000000"/>
                <w:sz w:val="20"/>
              </w:rPr>
              <w:t>
Part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Hydraulic calculation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1.2 </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Inspection Acts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Environmental Impact Assessment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Engineering-geological conditions of the territories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estimate of the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2.1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3.1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of work volume (specifications)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lists. Main option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lists. Alternative option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of the State Examination No. 06-0201/17 dated November 7, 2017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disk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investments “Justification of investments for heat supply system of Uralsk”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explanatory note</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1.1 </w:t>
            </w:r>
            <w:r>
              <w:br/>
            </w:r>
            <w:r>
              <w:rPr>
                <w:rFonts w:ascii="Times New Roman"/>
                <w:b w:val="false"/>
                <w:i w:val="false"/>
                <w:color w:val="000000"/>
                <w:sz w:val="20"/>
              </w:rPr>
              <w:t>
Part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explanatory note</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1.1 </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1.2</w:t>
            </w:r>
            <w:r>
              <w:br/>
            </w:r>
            <w:r>
              <w:rPr>
                <w:rFonts w:ascii="Times New Roman"/>
                <w:b w:val="false"/>
                <w:i w:val="false"/>
                <w:color w:val="000000"/>
                <w:sz w:val="20"/>
              </w:rPr>
              <w:t>
Part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Appendixes (hydraulic calculation for heating networks from boiler rooms)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1.2</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Appendixes (hydraulic calculation for existing, promising heating networks)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1.2</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Inspection Acts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Environmental Impact Assessment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Engineering-geological conditions of the territories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estimate of the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of construction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2018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2019 (Book No.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2019 (Book No.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2020 (Book No.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2020 (Book No.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2021 (Book No.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2021 (Book No.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2021 (Book No.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2022 (Book No.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2022 (Book No.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2023 (Book No.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resource estimate for 2023 (Book No.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2024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2025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2026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2027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2028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2029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resource estimate for 2030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5</w:t>
            </w:r>
            <w:r>
              <w:br/>
            </w:r>
            <w:r>
              <w:rPr>
                <w:rFonts w:ascii="Times New Roman"/>
                <w:b w:val="false"/>
                <w:i w:val="false"/>
                <w:color w:val="000000"/>
                <w:sz w:val="20"/>
              </w:rPr>
              <w:t>
Part 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of work volume for reconstruction of heating networks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of work volume for reconstruction of boiler and heating networks from boiler</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6.1</w:t>
            </w:r>
            <w:r>
              <w:br/>
            </w:r>
            <w:r>
              <w:rPr>
                <w:rFonts w:ascii="Times New Roman"/>
                <w:b w:val="false"/>
                <w:i w:val="false"/>
                <w:color w:val="000000"/>
                <w:sz w:val="20"/>
              </w:rPr>
              <w:t>
Part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of work volume for reconstruction of heating support and central points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6.1</w:t>
            </w:r>
            <w:r>
              <w:br/>
            </w:r>
            <w:r>
              <w:rPr>
                <w:rFonts w:ascii="Times New Roman"/>
                <w:b w:val="false"/>
                <w:i w:val="false"/>
                <w:color w:val="000000"/>
                <w:sz w:val="20"/>
              </w:rPr>
              <w:t>
Part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of work volume for prospective heating networks</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6.1</w:t>
            </w:r>
            <w:r>
              <w:br/>
            </w:r>
            <w:r>
              <w:rPr>
                <w:rFonts w:ascii="Times New Roman"/>
                <w:b w:val="false"/>
                <w:i w:val="false"/>
                <w:color w:val="000000"/>
                <w:sz w:val="20"/>
              </w:rPr>
              <w:t>
Part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option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Alternative option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of the State Examination No. 09-0170/17 dated November 8, 2017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disk</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Disk</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technical inspection of heat supply systems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report on centralized technical inspection of boiler plants with capacity up to 100 Gcal/hour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1 to final report for centralized technical inspection of boiler plants with capacity up to 100 Gcal/hour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Appendix No. 2 to final report for centralized technical inspection of boiler plants with capacity up to 100 Gcal/hour in Semey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2 to final report for centralized technical inspection of boiler plants with capacity up to 100 Gcal/hour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2 to final report for centralized technical inspection of boiler plants with capacity up to 100 Gcal/hour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energy expertise of technical inspection of boiler plants with capacity up to 100 Gcal/hour of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report for centralized technical inspection of heat supply networks in Semey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1 to final report for centralized technical inspection of heat supply networks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2 to final report for centralized technical inspection of heat supply networks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3 to final report for centralized technical inspection of heat supply networks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4 to final report for centralized technical inspection of heat supply networks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5 to final report for centralized technical inspection of heat supply networks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Appendix No. 1 to final report for centralized technical inspection of heat supply networks in Semey</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of energy expertise of technical inspection of heat supply networks of Semey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