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75d5c" w14:textId="8a75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state incentive Rules for making a significant contribution to the provision of comprehensive social legal assistance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February 8, 2019 № 45. Abolished by the Decree of the Government of the Republic of Kazakhstan dated 08/02/2023 No. 636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08/02/2023 No. 636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19, paragraph 3, of the Law of the Republic of Kazakhstan dated July 5, 2018 "On advocacy and legal assistance," the Government of the Republic of Kazakhstan </w:t>
      </w:r>
      <w:r>
        <w:rPr>
          <w:rFonts w:ascii="Times New Roman"/>
          <w:b/>
          <w:i w:val="false"/>
          <w:color w:val="000000"/>
          <w:sz w:val="28"/>
        </w:rPr>
        <w:t>hereby RESOLVED as follows</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attached state incentive Rules for making a significant contribution to the provision of comprehensive social legal assistance.</w:t>
      </w:r>
    </w:p>
    <w:bookmarkEnd w:id="0"/>
    <w:bookmarkStart w:name="z2" w:id="1"/>
    <w:p>
      <w:pPr>
        <w:spacing w:after="0"/>
        <w:ind w:left="0"/>
        <w:jc w:val="both"/>
      </w:pPr>
      <w:r>
        <w:rPr>
          <w:rFonts w:ascii="Times New Roman"/>
          <w:b w:val="false"/>
          <w:i w:val="false"/>
          <w:color w:val="000000"/>
          <w:sz w:val="28"/>
        </w:rPr>
        <w:t>
      2. This resolution shall enter into force from January 1, 2019 and be the subject to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B.Sagintayev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February 8, 2019 № 45 </w:t>
            </w:r>
          </w:p>
        </w:tc>
      </w:tr>
    </w:tbl>
    <w:bookmarkStart w:name="z4" w:id="2"/>
    <w:p>
      <w:pPr>
        <w:spacing w:after="0"/>
        <w:ind w:left="0"/>
        <w:jc w:val="left"/>
      </w:pPr>
      <w:r>
        <w:rPr>
          <w:rFonts w:ascii="Times New Roman"/>
          <w:b/>
          <w:i w:val="false"/>
          <w:color w:val="000000"/>
        </w:rPr>
        <w:t xml:space="preserve"> State incentive Rules for making a significant contribution to the provision of comprehensive social legal assistance</w:t>
      </w:r>
      <w:r>
        <w:br/>
      </w:r>
      <w:r>
        <w:rPr>
          <w:rFonts w:ascii="Times New Roman"/>
          <w:b/>
          <w:i w:val="false"/>
          <w:color w:val="000000"/>
        </w:rPr>
        <w:t xml:space="preserve">1.General provisions </w:t>
      </w:r>
    </w:p>
    <w:bookmarkEnd w:id="2"/>
    <w:bookmarkStart w:name="z5" w:id="3"/>
    <w:p>
      <w:pPr>
        <w:spacing w:after="0"/>
        <w:ind w:left="0"/>
        <w:jc w:val="both"/>
      </w:pPr>
      <w:r>
        <w:rPr>
          <w:rFonts w:ascii="Times New Roman"/>
          <w:b w:val="false"/>
          <w:i w:val="false"/>
          <w:color w:val="000000"/>
          <w:sz w:val="28"/>
        </w:rPr>
        <w:t>
      1. These state incentive Rules for making a significant contribution to the provision of comprehensive social legal assistance (hereinafter referred to as the Rules) shall be developed in accordance with Article 19, paragraph 3 of the Law of the Republic of Kazakhstan dated July 5, 2018 "On advocacy and legal assistance" and shall determine the state incentive procedure for making a significant contribution to the provision of comprehensive social legal assistance.</w:t>
      </w:r>
    </w:p>
    <w:bookmarkEnd w:id="3"/>
    <w:bookmarkStart w:name="z6" w:id="4"/>
    <w:p>
      <w:pPr>
        <w:spacing w:after="0"/>
        <w:ind w:left="0"/>
        <w:jc w:val="both"/>
      </w:pPr>
      <w:r>
        <w:rPr>
          <w:rFonts w:ascii="Times New Roman"/>
          <w:b w:val="false"/>
          <w:i w:val="false"/>
          <w:color w:val="000000"/>
          <w:sz w:val="28"/>
        </w:rPr>
        <w:t>
      2. The state incentive measure to make a significant contribution to the provision of comprehensive social legal assistance shall be the assignment of medals and badges (hereinafter referred to as the awards).</w:t>
      </w:r>
    </w:p>
    <w:bookmarkEnd w:id="4"/>
    <w:bookmarkStart w:name="z7" w:id="5"/>
    <w:p>
      <w:pPr>
        <w:spacing w:after="0"/>
        <w:ind w:left="0"/>
        <w:jc w:val="left"/>
      </w:pPr>
      <w:r>
        <w:rPr>
          <w:rFonts w:ascii="Times New Roman"/>
          <w:b/>
          <w:i w:val="false"/>
          <w:color w:val="000000"/>
        </w:rPr>
        <w:t xml:space="preserve"> 2. The state incentive procedure for making a significant contribution to the provision of comprehensive social legal assistance</w:t>
      </w:r>
    </w:p>
    <w:bookmarkEnd w:id="5"/>
    <w:bookmarkStart w:name="z8" w:id="6"/>
    <w:p>
      <w:pPr>
        <w:spacing w:after="0"/>
        <w:ind w:left="0"/>
        <w:jc w:val="both"/>
      </w:pPr>
      <w:r>
        <w:rPr>
          <w:rFonts w:ascii="Times New Roman"/>
          <w:b w:val="false"/>
          <w:i w:val="false"/>
          <w:color w:val="000000"/>
          <w:sz w:val="28"/>
        </w:rPr>
        <w:t>
      3. The incentive measures shall show the achievements in the professional activities of a lawyer, a legal adviser, distinguished by:</w:t>
      </w:r>
    </w:p>
    <w:bookmarkEnd w:id="6"/>
    <w:bookmarkStart w:name="z9" w:id="7"/>
    <w:p>
      <w:pPr>
        <w:spacing w:after="0"/>
        <w:ind w:left="0"/>
        <w:jc w:val="both"/>
      </w:pPr>
      <w:r>
        <w:rPr>
          <w:rFonts w:ascii="Times New Roman"/>
          <w:b w:val="false"/>
          <w:i w:val="false"/>
          <w:color w:val="000000"/>
          <w:sz w:val="28"/>
        </w:rPr>
        <w:t>
      1) high professional skill in protecting the rights, freedoms and legitimate interests of clients in providing comprehensive social legal assistance;</w:t>
      </w:r>
    </w:p>
    <w:bookmarkEnd w:id="7"/>
    <w:bookmarkStart w:name="z10" w:id="8"/>
    <w:p>
      <w:pPr>
        <w:spacing w:after="0"/>
        <w:ind w:left="0"/>
        <w:jc w:val="both"/>
      </w:pPr>
      <w:r>
        <w:rPr>
          <w:rFonts w:ascii="Times New Roman"/>
          <w:b w:val="false"/>
          <w:i w:val="false"/>
          <w:color w:val="000000"/>
          <w:sz w:val="28"/>
        </w:rPr>
        <w:t>
      2) a significant contribution to the development of comprehensive social legal assistance.</w:t>
      </w:r>
    </w:p>
    <w:bookmarkEnd w:id="8"/>
    <w:bookmarkStart w:name="z11" w:id="9"/>
    <w:p>
      <w:pPr>
        <w:spacing w:after="0"/>
        <w:ind w:left="0"/>
        <w:jc w:val="both"/>
      </w:pPr>
      <w:r>
        <w:rPr>
          <w:rFonts w:ascii="Times New Roman"/>
          <w:b w:val="false"/>
          <w:i w:val="false"/>
          <w:color w:val="000000"/>
          <w:sz w:val="28"/>
        </w:rPr>
        <w:t>
      High professional skill and significant contribution of lawyers, legal advisers to the development of comprehensive social legal assistance shall be determined by the Presidium of the Republican Bar Association, the collegial governing body of the Chamber of Legal Advisers.</w:t>
      </w:r>
    </w:p>
    <w:bookmarkEnd w:id="9"/>
    <w:bookmarkStart w:name="z12" w:id="10"/>
    <w:p>
      <w:pPr>
        <w:spacing w:after="0"/>
        <w:ind w:left="0"/>
        <w:jc w:val="both"/>
      </w:pPr>
      <w:r>
        <w:rPr>
          <w:rFonts w:ascii="Times New Roman"/>
          <w:b w:val="false"/>
          <w:i w:val="false"/>
          <w:color w:val="000000"/>
          <w:sz w:val="28"/>
        </w:rPr>
        <w:t>
      4. Presentations on the awarding of lawyers and legal advisers shall be initiated by the Republican Bar Association and the Chambers of Legal Advisers, which shall send the relevant submissions to the personnel service of the central government body authorized in the field of legal assistance (hereinafter referred to as the presentation of the awarding, the authorized body).</w:t>
      </w:r>
    </w:p>
    <w:bookmarkEnd w:id="10"/>
    <w:bookmarkStart w:name="z13" w:id="11"/>
    <w:p>
      <w:pPr>
        <w:spacing w:after="0"/>
        <w:ind w:left="0"/>
        <w:jc w:val="both"/>
      </w:pPr>
      <w:r>
        <w:rPr>
          <w:rFonts w:ascii="Times New Roman"/>
          <w:b w:val="false"/>
          <w:i w:val="false"/>
          <w:color w:val="000000"/>
          <w:sz w:val="28"/>
        </w:rPr>
        <w:t>
      5. Presentations on awarding shall be sent to the authorized body no later than 2 months before the celebration of state, professional, other holidays and anniversary dates.</w:t>
      </w:r>
    </w:p>
    <w:bookmarkEnd w:id="11"/>
    <w:bookmarkStart w:name="z14" w:id="12"/>
    <w:p>
      <w:pPr>
        <w:spacing w:after="0"/>
        <w:ind w:left="0"/>
        <w:jc w:val="both"/>
      </w:pPr>
      <w:r>
        <w:rPr>
          <w:rFonts w:ascii="Times New Roman"/>
          <w:b w:val="false"/>
          <w:i w:val="false"/>
          <w:color w:val="000000"/>
          <w:sz w:val="28"/>
        </w:rPr>
        <w:t>
      6. The authorized body shall consider the issue of awarding, shall prepare the necessary documents and shall accept the order of awarding within 10 calendar days.</w:t>
      </w:r>
    </w:p>
    <w:bookmarkEnd w:id="12"/>
    <w:bookmarkStart w:name="z15" w:id="13"/>
    <w:p>
      <w:pPr>
        <w:spacing w:after="0"/>
        <w:ind w:left="0"/>
        <w:jc w:val="both"/>
      </w:pPr>
      <w:r>
        <w:rPr>
          <w:rFonts w:ascii="Times New Roman"/>
          <w:b w:val="false"/>
          <w:i w:val="false"/>
          <w:color w:val="000000"/>
          <w:sz w:val="28"/>
        </w:rPr>
        <w:t>
      7. Awards shall be presented by the authorized body in a solemn atmosphere to the personally awarded.</w:t>
      </w:r>
    </w:p>
    <w:bookmarkEnd w:id="13"/>
    <w:bookmarkStart w:name="z16" w:id="14"/>
    <w:p>
      <w:pPr>
        <w:spacing w:after="0"/>
        <w:ind w:left="0"/>
        <w:jc w:val="both"/>
      </w:pPr>
      <w:r>
        <w:rPr>
          <w:rFonts w:ascii="Times New Roman"/>
          <w:b w:val="false"/>
          <w:i w:val="false"/>
          <w:color w:val="000000"/>
          <w:sz w:val="28"/>
        </w:rPr>
        <w:t>
      8. The list and description of awards, the form of the award sheet shall be approved by the authorized body.</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