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34b3" w14:textId="9f73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the financial rules of the Turkic Culture and Heritage Foundation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842 of the Government of the Republic of Kazakhstan dated November 8, 2019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RESOLVES:</w:t>
      </w:r>
    </w:p>
    <w:bookmarkEnd w:id="0"/>
    <w:bookmarkStart w:name="z6" w:id="1"/>
    <w:p>
      <w:pPr>
        <w:spacing w:after="0"/>
        <w:ind w:left="0"/>
        <w:jc w:val="both"/>
      </w:pPr>
      <w:r>
        <w:rPr>
          <w:rFonts w:ascii="Times New Roman"/>
          <w:b w:val="false"/>
          <w:i w:val="false"/>
          <w:color w:val="000000"/>
          <w:sz w:val="28"/>
        </w:rPr>
        <w:t>
      1. To approve the attached Agreement on the financial rules of the Turkic Culture and Heritage Foundation, executed in Bishkek on September 2, 2018.</w:t>
      </w:r>
    </w:p>
    <w:bookmarkEnd w:id="1"/>
    <w:bookmarkStart w:name="z7"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Resolution No. 842 </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8, 2019 </w:t>
            </w:r>
          </w:p>
        </w:tc>
      </w:tr>
    </w:tbl>
    <w:bookmarkStart w:name="z10" w:id="3"/>
    <w:p>
      <w:pPr>
        <w:spacing w:after="0"/>
        <w:ind w:left="0"/>
        <w:jc w:val="left"/>
      </w:pPr>
      <w:r>
        <w:rPr>
          <w:rFonts w:ascii="Times New Roman"/>
          <w:b/>
          <w:i w:val="false"/>
          <w:color w:val="000000"/>
        </w:rPr>
        <w:t xml:space="preserve"> Agreement on the Financial Rules of the Turkic Culture and Heritage Foundation</w:t>
      </w:r>
    </w:p>
    <w:bookmarkEnd w:id="3"/>
    <w:bookmarkStart w:name="z11" w:id="4"/>
    <w:p>
      <w:pPr>
        <w:spacing w:after="0"/>
        <w:ind w:left="0"/>
        <w:jc w:val="both"/>
      </w:pPr>
      <w:r>
        <w:rPr>
          <w:rFonts w:ascii="Times New Roman"/>
          <w:b w:val="false"/>
          <w:i w:val="false"/>
          <w:color w:val="000000"/>
          <w:sz w:val="28"/>
        </w:rPr>
        <w:t>
      The Governments of the Republic of Azerbaijan, the Republic of Kazakhstan, the Kyrgyz Republic and the Republic of Turkey, hereinafter referred to as the "Parties",</w:t>
      </w:r>
    </w:p>
    <w:bookmarkEnd w:id="4"/>
    <w:bookmarkStart w:name="z12" w:id="5"/>
    <w:p>
      <w:pPr>
        <w:spacing w:after="0"/>
        <w:ind w:left="0"/>
        <w:jc w:val="both"/>
      </w:pPr>
      <w:r>
        <w:rPr>
          <w:rFonts w:ascii="Times New Roman"/>
          <w:b w:val="false"/>
          <w:i w:val="false"/>
          <w:color w:val="000000"/>
          <w:sz w:val="28"/>
        </w:rPr>
        <w:t>
      guided by the generally recognized principles and norms of the international law,</w:t>
      </w:r>
    </w:p>
    <w:bookmarkEnd w:id="5"/>
    <w:bookmarkStart w:name="z13" w:id="6"/>
    <w:p>
      <w:pPr>
        <w:spacing w:after="0"/>
        <w:ind w:left="0"/>
        <w:jc w:val="both"/>
      </w:pPr>
      <w:r>
        <w:rPr>
          <w:rFonts w:ascii="Times New Roman"/>
          <w:b w:val="false"/>
          <w:i w:val="false"/>
          <w:color w:val="000000"/>
          <w:sz w:val="28"/>
        </w:rPr>
        <w:t>
      in accordance with the decision to establish the Turkic Culture and Heritage Foundation (hereinafter the Foundation), adopted at the IX Summit of the Heads of Turkic-speaking states, held in the city of Nakhchivan, the Republic of Azerbaijan, on October 3, 2009,</w:t>
      </w:r>
    </w:p>
    <w:bookmarkEnd w:id="6"/>
    <w:bookmarkStart w:name="z14" w:id="7"/>
    <w:p>
      <w:pPr>
        <w:spacing w:after="0"/>
        <w:ind w:left="0"/>
        <w:jc w:val="both"/>
      </w:pPr>
      <w:r>
        <w:rPr>
          <w:rFonts w:ascii="Times New Roman"/>
          <w:b w:val="false"/>
          <w:i w:val="false"/>
          <w:color w:val="000000"/>
          <w:sz w:val="28"/>
        </w:rPr>
        <w:t>
      pursuant to the provisions of Article 6 of the Charter of the Turkic Culture and Heritage Foundation (hereinafter -the Charter), signed in Bishkek on August 23, 2012,</w:t>
      </w:r>
    </w:p>
    <w:bookmarkEnd w:id="7"/>
    <w:bookmarkStart w:name="z15" w:id="8"/>
    <w:p>
      <w:pPr>
        <w:spacing w:after="0"/>
        <w:ind w:left="0"/>
        <w:jc w:val="both"/>
      </w:pPr>
      <w:r>
        <w:rPr>
          <w:rFonts w:ascii="Times New Roman"/>
          <w:b w:val="false"/>
          <w:i w:val="false"/>
          <w:color w:val="000000"/>
          <w:sz w:val="28"/>
        </w:rPr>
        <w:t>
      with due respect to the Agreement of the Host State between the Government of the Republic of Azerbaijan and the Turkic Culture and Heritage Foundation on the conditions and procedure for the placement of the Foundation in the Republic of Azerbaijan,</w:t>
      </w:r>
    </w:p>
    <w:bookmarkEnd w:id="8"/>
    <w:bookmarkStart w:name="z16" w:id="9"/>
    <w:p>
      <w:pPr>
        <w:spacing w:after="0"/>
        <w:ind w:left="0"/>
        <w:jc w:val="both"/>
      </w:pPr>
      <w:r>
        <w:rPr>
          <w:rFonts w:ascii="Times New Roman"/>
          <w:b w:val="false"/>
          <w:i w:val="false"/>
          <w:color w:val="000000"/>
          <w:sz w:val="28"/>
        </w:rPr>
        <w:t>
      have agreed as follows:</w:t>
      </w:r>
    </w:p>
    <w:bookmarkEnd w:id="9"/>
    <w:bookmarkStart w:name="z17" w:id="10"/>
    <w:p>
      <w:pPr>
        <w:spacing w:after="0"/>
        <w:ind w:left="0"/>
        <w:jc w:val="left"/>
      </w:pPr>
      <w:r>
        <w:rPr>
          <w:rFonts w:ascii="Times New Roman"/>
          <w:b/>
          <w:i w:val="false"/>
          <w:color w:val="000000"/>
        </w:rPr>
        <w:t xml:space="preserve"> Article 1 Definition</w:t>
      </w:r>
    </w:p>
    <w:bookmarkEnd w:id="10"/>
    <w:bookmarkStart w:name="z18" w:id="11"/>
    <w:p>
      <w:pPr>
        <w:spacing w:after="0"/>
        <w:ind w:left="0"/>
        <w:jc w:val="both"/>
      </w:pPr>
      <w:r>
        <w:rPr>
          <w:rFonts w:ascii="Times New Roman"/>
          <w:b w:val="false"/>
          <w:i w:val="false"/>
          <w:color w:val="000000"/>
          <w:sz w:val="28"/>
        </w:rPr>
        <w:t>
      In this Agreement:</w:t>
      </w:r>
    </w:p>
    <w:bookmarkEnd w:id="11"/>
    <w:bookmarkStart w:name="z19" w:id="12"/>
    <w:p>
      <w:pPr>
        <w:spacing w:after="0"/>
        <w:ind w:left="0"/>
        <w:jc w:val="both"/>
      </w:pPr>
      <w:r>
        <w:rPr>
          <w:rFonts w:ascii="Times New Roman"/>
          <w:b w:val="false"/>
          <w:i w:val="false"/>
          <w:color w:val="000000"/>
          <w:sz w:val="28"/>
        </w:rPr>
        <w:t>
      “Turkic Council” shall mean the Cooperation Council of Turkic Speaking States;</w:t>
      </w:r>
    </w:p>
    <w:bookmarkEnd w:id="12"/>
    <w:bookmarkStart w:name="z20" w:id="13"/>
    <w:p>
      <w:pPr>
        <w:spacing w:after="0"/>
        <w:ind w:left="0"/>
        <w:jc w:val="both"/>
      </w:pPr>
      <w:r>
        <w:rPr>
          <w:rFonts w:ascii="Times New Roman"/>
          <w:b w:val="false"/>
          <w:i w:val="false"/>
          <w:color w:val="000000"/>
          <w:sz w:val="28"/>
        </w:rPr>
        <w:t>
      “Parties” shall mean the governments of the member states of the Turkic Council that have signed the Charter;</w:t>
      </w:r>
    </w:p>
    <w:bookmarkEnd w:id="13"/>
    <w:bookmarkStart w:name="z21" w:id="14"/>
    <w:p>
      <w:pPr>
        <w:spacing w:after="0"/>
        <w:ind w:left="0"/>
        <w:jc w:val="both"/>
      </w:pPr>
      <w:r>
        <w:rPr>
          <w:rFonts w:ascii="Times New Roman"/>
          <w:b w:val="false"/>
          <w:i w:val="false"/>
          <w:color w:val="000000"/>
          <w:sz w:val="28"/>
        </w:rPr>
        <w:t xml:space="preserve">
      “CFM” shall mean the Council of Foreign Ministers of the Turkic Council; </w:t>
      </w:r>
    </w:p>
    <w:bookmarkEnd w:id="14"/>
    <w:bookmarkStart w:name="z22" w:id="15"/>
    <w:p>
      <w:pPr>
        <w:spacing w:after="0"/>
        <w:ind w:left="0"/>
        <w:jc w:val="both"/>
      </w:pPr>
      <w:r>
        <w:rPr>
          <w:rFonts w:ascii="Times New Roman"/>
          <w:b w:val="false"/>
          <w:i w:val="false"/>
          <w:color w:val="000000"/>
          <w:sz w:val="28"/>
        </w:rPr>
        <w:t>
      “CSO” shall mean the Committee of Senior Officials of the Turkic Council;</w:t>
      </w:r>
    </w:p>
    <w:bookmarkEnd w:id="15"/>
    <w:bookmarkStart w:name="z23" w:id="16"/>
    <w:p>
      <w:pPr>
        <w:spacing w:after="0"/>
        <w:ind w:left="0"/>
        <w:jc w:val="both"/>
      </w:pPr>
      <w:r>
        <w:rPr>
          <w:rFonts w:ascii="Times New Roman"/>
          <w:b w:val="false"/>
          <w:i w:val="false"/>
          <w:color w:val="000000"/>
          <w:sz w:val="28"/>
        </w:rPr>
        <w:t>
      “host state” shall mean the member state of the Foundation in whose territory the Fund is located;</w:t>
      </w:r>
    </w:p>
    <w:bookmarkEnd w:id="16"/>
    <w:bookmarkStart w:name="z24" w:id="17"/>
    <w:p>
      <w:pPr>
        <w:spacing w:after="0"/>
        <w:ind w:left="0"/>
        <w:jc w:val="both"/>
      </w:pPr>
      <w:r>
        <w:rPr>
          <w:rFonts w:ascii="Times New Roman"/>
          <w:b w:val="false"/>
          <w:i w:val="false"/>
          <w:color w:val="000000"/>
          <w:sz w:val="28"/>
        </w:rPr>
        <w:t>
      “Agreement” shall mean this Agreement on the Financial Rules of the Turkic Culture and Heritage Foundation;</w:t>
      </w:r>
    </w:p>
    <w:bookmarkEnd w:id="17"/>
    <w:bookmarkStart w:name="z25" w:id="18"/>
    <w:p>
      <w:pPr>
        <w:spacing w:after="0"/>
        <w:ind w:left="0"/>
        <w:jc w:val="both"/>
      </w:pPr>
      <w:r>
        <w:rPr>
          <w:rFonts w:ascii="Times New Roman"/>
          <w:b w:val="false"/>
          <w:i w:val="false"/>
          <w:color w:val="000000"/>
          <w:sz w:val="28"/>
        </w:rPr>
        <w:t>
      "president" - the president of the Foundation;</w:t>
      </w:r>
    </w:p>
    <w:bookmarkEnd w:id="18"/>
    <w:bookmarkStart w:name="z26" w:id="19"/>
    <w:p>
      <w:pPr>
        <w:spacing w:after="0"/>
        <w:ind w:left="0"/>
        <w:jc w:val="both"/>
      </w:pPr>
      <w:r>
        <w:rPr>
          <w:rFonts w:ascii="Times New Roman"/>
          <w:b w:val="false"/>
          <w:i w:val="false"/>
          <w:color w:val="000000"/>
          <w:sz w:val="28"/>
        </w:rPr>
        <w:t>
      “Council” shall mean the Council of the Foundation, which is a supervisory body, composed of one representative from each member state;</w:t>
      </w:r>
    </w:p>
    <w:bookmarkEnd w:id="19"/>
    <w:bookmarkStart w:name="z27" w:id="20"/>
    <w:p>
      <w:pPr>
        <w:spacing w:after="0"/>
        <w:ind w:left="0"/>
        <w:jc w:val="both"/>
      </w:pPr>
      <w:r>
        <w:rPr>
          <w:rFonts w:ascii="Times New Roman"/>
          <w:b w:val="false"/>
          <w:i w:val="false"/>
          <w:color w:val="000000"/>
          <w:sz w:val="28"/>
        </w:rPr>
        <w:t>
      “secretariat” shall mean the secretariat of the Foundation;</w:t>
      </w:r>
    </w:p>
    <w:bookmarkEnd w:id="20"/>
    <w:bookmarkStart w:name="z28" w:id="21"/>
    <w:p>
      <w:pPr>
        <w:spacing w:after="0"/>
        <w:ind w:left="0"/>
        <w:jc w:val="both"/>
      </w:pPr>
      <w:r>
        <w:rPr>
          <w:rFonts w:ascii="Times New Roman"/>
          <w:b w:val="false"/>
          <w:i w:val="false"/>
          <w:color w:val="000000"/>
          <w:sz w:val="28"/>
        </w:rPr>
        <w:t>
      “Foundation staff” shall be comprised of the president, professional staff, and general service staff;</w:t>
      </w:r>
    </w:p>
    <w:bookmarkEnd w:id="21"/>
    <w:bookmarkStart w:name="z29" w:id="22"/>
    <w:p>
      <w:pPr>
        <w:spacing w:after="0"/>
        <w:ind w:left="0"/>
        <w:jc w:val="both"/>
      </w:pPr>
      <w:r>
        <w:rPr>
          <w:rFonts w:ascii="Times New Roman"/>
          <w:b w:val="false"/>
          <w:i w:val="false"/>
          <w:color w:val="000000"/>
          <w:sz w:val="28"/>
        </w:rPr>
        <w:t>
      “dependents” shall mean a spouse, unmarried children under the age of 18, and parents who are fully dependent on the staff of the Foundation;</w:t>
      </w:r>
    </w:p>
    <w:bookmarkEnd w:id="22"/>
    <w:bookmarkStart w:name="z30" w:id="23"/>
    <w:p>
      <w:pPr>
        <w:spacing w:after="0"/>
        <w:ind w:left="0"/>
        <w:jc w:val="both"/>
      </w:pPr>
      <w:r>
        <w:rPr>
          <w:rFonts w:ascii="Times New Roman"/>
          <w:b w:val="false"/>
          <w:i w:val="false"/>
          <w:color w:val="000000"/>
          <w:sz w:val="28"/>
        </w:rPr>
        <w:t>
      “premises of the Foundation” shall mean buildings or part of the buildings and adjacent territories used by the Foundation for the performance of its functions;</w:t>
      </w:r>
    </w:p>
    <w:bookmarkEnd w:id="23"/>
    <w:bookmarkStart w:name="z31" w:id="24"/>
    <w:p>
      <w:pPr>
        <w:spacing w:after="0"/>
        <w:ind w:left="0"/>
        <w:jc w:val="both"/>
      </w:pPr>
      <w:r>
        <w:rPr>
          <w:rFonts w:ascii="Times New Roman"/>
          <w:b w:val="false"/>
          <w:i w:val="false"/>
          <w:color w:val="000000"/>
          <w:sz w:val="28"/>
        </w:rPr>
        <w:t>
      “professional staff” shall comprise professional personnel recruited on a contract basis;</w:t>
      </w:r>
    </w:p>
    <w:bookmarkEnd w:id="24"/>
    <w:bookmarkStart w:name="z32" w:id="25"/>
    <w:p>
      <w:pPr>
        <w:spacing w:after="0"/>
        <w:ind w:left="0"/>
        <w:jc w:val="both"/>
      </w:pPr>
      <w:r>
        <w:rPr>
          <w:rFonts w:ascii="Times New Roman"/>
          <w:b w:val="false"/>
          <w:i w:val="false"/>
          <w:color w:val="000000"/>
          <w:sz w:val="28"/>
        </w:rPr>
        <w:t>
      “general service staff ” shall consists of technical personnel recruited on a contract basis;</w:t>
      </w:r>
    </w:p>
    <w:bookmarkEnd w:id="25"/>
    <w:bookmarkStart w:name="z33" w:id="26"/>
    <w:p>
      <w:pPr>
        <w:spacing w:after="0"/>
        <w:ind w:left="0"/>
        <w:jc w:val="both"/>
      </w:pPr>
      <w:r>
        <w:rPr>
          <w:rFonts w:ascii="Times New Roman"/>
          <w:b w:val="false"/>
          <w:i w:val="false"/>
          <w:color w:val="000000"/>
          <w:sz w:val="28"/>
        </w:rPr>
        <w:t>
      “budget” shall mean the formation and management of funds intended for the fulfillment of the tasks and functions of the Foundation;</w:t>
      </w:r>
    </w:p>
    <w:bookmarkEnd w:id="26"/>
    <w:bookmarkStart w:name="z34" w:id="27"/>
    <w:p>
      <w:pPr>
        <w:spacing w:after="0"/>
        <w:ind w:left="0"/>
        <w:jc w:val="both"/>
      </w:pPr>
      <w:r>
        <w:rPr>
          <w:rFonts w:ascii="Times New Roman"/>
          <w:b w:val="false"/>
          <w:i w:val="false"/>
          <w:color w:val="000000"/>
          <w:sz w:val="28"/>
        </w:rPr>
        <w:t>
      “financial year” shall mean the period from January 1 to December 31 of a calendar year;</w:t>
      </w:r>
    </w:p>
    <w:bookmarkEnd w:id="27"/>
    <w:bookmarkStart w:name="z35" w:id="28"/>
    <w:p>
      <w:pPr>
        <w:spacing w:after="0"/>
        <w:ind w:left="0"/>
        <w:jc w:val="both"/>
      </w:pPr>
      <w:r>
        <w:rPr>
          <w:rFonts w:ascii="Times New Roman"/>
          <w:b w:val="false"/>
          <w:i w:val="false"/>
          <w:color w:val="000000"/>
          <w:sz w:val="28"/>
        </w:rPr>
        <w:t>
      “contributions” shall mean amounts established for the Parties to cover the costs of the Foundation for the current financial year;</w:t>
      </w:r>
    </w:p>
    <w:bookmarkEnd w:id="28"/>
    <w:bookmarkStart w:name="z36" w:id="29"/>
    <w:p>
      <w:pPr>
        <w:spacing w:after="0"/>
        <w:ind w:left="0"/>
        <w:jc w:val="both"/>
      </w:pPr>
      <w:r>
        <w:rPr>
          <w:rFonts w:ascii="Times New Roman"/>
          <w:b w:val="false"/>
          <w:i w:val="false"/>
          <w:color w:val="000000"/>
          <w:sz w:val="28"/>
        </w:rPr>
        <w:t>
      “external audit” shall mean checking of the financial and economic activities of the Foundation, which shall be carried out by independent auditor / auditors appointed by the CFM;</w:t>
      </w:r>
    </w:p>
    <w:bookmarkEnd w:id="29"/>
    <w:bookmarkStart w:name="z37" w:id="30"/>
    <w:p>
      <w:pPr>
        <w:spacing w:after="0"/>
        <w:ind w:left="0"/>
        <w:jc w:val="both"/>
      </w:pPr>
      <w:r>
        <w:rPr>
          <w:rFonts w:ascii="Times New Roman"/>
          <w:b w:val="false"/>
          <w:i w:val="false"/>
          <w:color w:val="000000"/>
          <w:sz w:val="28"/>
        </w:rPr>
        <w:t>
      “income” shall mean the funds received by the Foundation in the form of assessed contributions to the budget;</w:t>
      </w:r>
    </w:p>
    <w:bookmarkEnd w:id="30"/>
    <w:bookmarkStart w:name="z38" w:id="31"/>
    <w:p>
      <w:pPr>
        <w:spacing w:after="0"/>
        <w:ind w:left="0"/>
        <w:jc w:val="both"/>
      </w:pPr>
      <w:r>
        <w:rPr>
          <w:rFonts w:ascii="Times New Roman"/>
          <w:b w:val="false"/>
          <w:i w:val="false"/>
          <w:color w:val="000000"/>
          <w:sz w:val="28"/>
        </w:rPr>
        <w:t>
      “other incomes” shall mean all the income other than assessed contributions, monetary donations, and amounts received as a result of direct reimbursement of expenses in the current financial year;</w:t>
      </w:r>
    </w:p>
    <w:bookmarkEnd w:id="31"/>
    <w:bookmarkStart w:name="z39" w:id="32"/>
    <w:p>
      <w:pPr>
        <w:spacing w:after="0"/>
        <w:ind w:left="0"/>
        <w:jc w:val="both"/>
      </w:pPr>
      <w:r>
        <w:rPr>
          <w:rFonts w:ascii="Times New Roman"/>
          <w:b w:val="false"/>
          <w:i w:val="false"/>
          <w:color w:val="000000"/>
          <w:sz w:val="28"/>
        </w:rPr>
        <w:t>
      “expenditure” shall mean funds allocated by the Foundation from the budget to finance its tasks and functions;</w:t>
      </w:r>
    </w:p>
    <w:bookmarkEnd w:id="32"/>
    <w:bookmarkStart w:name="z40" w:id="33"/>
    <w:p>
      <w:pPr>
        <w:spacing w:after="0"/>
        <w:ind w:left="0"/>
        <w:jc w:val="both"/>
      </w:pPr>
      <w:r>
        <w:rPr>
          <w:rFonts w:ascii="Times New Roman"/>
          <w:b w:val="false"/>
          <w:i w:val="false"/>
          <w:color w:val="000000"/>
          <w:sz w:val="28"/>
        </w:rPr>
        <w:t>
      “candidate expenses” shall mean expenses of the candidates for travel, hotel accommodation and per-diem subsistence allowance;</w:t>
      </w:r>
    </w:p>
    <w:bookmarkEnd w:id="33"/>
    <w:bookmarkStart w:name="z41" w:id="34"/>
    <w:p>
      <w:pPr>
        <w:spacing w:after="0"/>
        <w:ind w:left="0"/>
        <w:jc w:val="both"/>
      </w:pPr>
      <w:r>
        <w:rPr>
          <w:rFonts w:ascii="Times New Roman"/>
          <w:b w:val="false"/>
          <w:i w:val="false"/>
          <w:color w:val="000000"/>
          <w:sz w:val="28"/>
        </w:rPr>
        <w:t>
      “working capital reserve” shall mean the part of the budget used for the expenditure of the Foundation until the full payment of the assessed contributions.</w:t>
      </w:r>
    </w:p>
    <w:bookmarkEnd w:id="34"/>
    <w:bookmarkStart w:name="z42" w:id="35"/>
    <w:p>
      <w:pPr>
        <w:spacing w:after="0"/>
        <w:ind w:left="0"/>
        <w:jc w:val="left"/>
      </w:pPr>
      <w:r>
        <w:rPr>
          <w:rFonts w:ascii="Times New Roman"/>
          <w:b/>
          <w:i w:val="false"/>
          <w:color w:val="000000"/>
        </w:rPr>
        <w:t xml:space="preserve"> Article 2 General Provisions</w:t>
      </w:r>
    </w:p>
    <w:bookmarkEnd w:id="35"/>
    <w:bookmarkStart w:name="z43" w:id="36"/>
    <w:p>
      <w:pPr>
        <w:spacing w:after="0"/>
        <w:ind w:left="0"/>
        <w:jc w:val="both"/>
      </w:pPr>
      <w:r>
        <w:rPr>
          <w:rFonts w:ascii="Times New Roman"/>
          <w:b w:val="false"/>
          <w:i w:val="false"/>
          <w:color w:val="000000"/>
          <w:sz w:val="28"/>
        </w:rPr>
        <w:t>
      This Agreement defines the funding sources, the procedure for the formation, implementation and accountability of the Foundation's budget.</w:t>
      </w:r>
    </w:p>
    <w:bookmarkEnd w:id="36"/>
    <w:bookmarkStart w:name="z44" w:id="37"/>
    <w:p>
      <w:pPr>
        <w:spacing w:after="0"/>
        <w:ind w:left="0"/>
        <w:jc w:val="left"/>
      </w:pPr>
      <w:r>
        <w:rPr>
          <w:rFonts w:ascii="Times New Roman"/>
          <w:b/>
          <w:i w:val="false"/>
          <w:color w:val="000000"/>
        </w:rPr>
        <w:t xml:space="preserve"> Article 3 Budget</w:t>
      </w:r>
    </w:p>
    <w:bookmarkEnd w:id="37"/>
    <w:bookmarkStart w:name="z45" w:id="38"/>
    <w:p>
      <w:pPr>
        <w:spacing w:after="0"/>
        <w:ind w:left="0"/>
        <w:jc w:val="both"/>
      </w:pPr>
      <w:r>
        <w:rPr>
          <w:rFonts w:ascii="Times New Roman"/>
          <w:b w:val="false"/>
          <w:i w:val="false"/>
          <w:color w:val="000000"/>
          <w:sz w:val="28"/>
        </w:rPr>
        <w:t>
      3.1 The budget of the Foundation shall comprise all incomes and expenses of the financial year in cash and / or other form, including annually determined expenses for the implementation of long-term projects of the Foundation.</w:t>
      </w:r>
    </w:p>
    <w:bookmarkEnd w:id="38"/>
    <w:bookmarkStart w:name="z46" w:id="39"/>
    <w:p>
      <w:pPr>
        <w:spacing w:after="0"/>
        <w:ind w:left="0"/>
        <w:jc w:val="both"/>
      </w:pPr>
      <w:r>
        <w:rPr>
          <w:rFonts w:ascii="Times New Roman"/>
          <w:b w:val="false"/>
          <w:i w:val="false"/>
          <w:color w:val="000000"/>
          <w:sz w:val="28"/>
        </w:rPr>
        <w:t>
      3.2 The budget of the Foundation shall be developed by the president and approved by the CFM after the approval of the CSO.</w:t>
      </w:r>
    </w:p>
    <w:bookmarkEnd w:id="39"/>
    <w:bookmarkStart w:name="z47" w:id="40"/>
    <w:p>
      <w:pPr>
        <w:spacing w:after="0"/>
        <w:ind w:left="0"/>
        <w:jc w:val="both"/>
      </w:pPr>
      <w:r>
        <w:rPr>
          <w:rFonts w:ascii="Times New Roman"/>
          <w:b w:val="false"/>
          <w:i w:val="false"/>
          <w:color w:val="000000"/>
          <w:sz w:val="28"/>
        </w:rPr>
        <w:t>
      3.3 Incomes shall include:</w:t>
      </w:r>
    </w:p>
    <w:bookmarkEnd w:id="40"/>
    <w:bookmarkStart w:name="z48" w:id="41"/>
    <w:p>
      <w:pPr>
        <w:spacing w:after="0"/>
        <w:ind w:left="0"/>
        <w:jc w:val="both"/>
      </w:pPr>
      <w:r>
        <w:rPr>
          <w:rFonts w:ascii="Times New Roman"/>
          <w:b w:val="false"/>
          <w:i w:val="false"/>
          <w:color w:val="000000"/>
          <w:sz w:val="28"/>
        </w:rPr>
        <w:t>
      a) mandatory contributions of the Parties, the amount of which shall be determined by the CFM, proceeding from their paying capacity, the scale of contributions to the United Nations and their current contributions to similar regional organizations. However, the share of the host state shall not be less than the share of other member states. The scale of mandatory contributions shall be indicated in a separate protocol, signed by the CFM. Changes shall be made to the protocol as necessary;</w:t>
      </w:r>
    </w:p>
    <w:bookmarkEnd w:id="41"/>
    <w:bookmarkStart w:name="z49" w:id="42"/>
    <w:p>
      <w:pPr>
        <w:spacing w:after="0"/>
        <w:ind w:left="0"/>
        <w:jc w:val="both"/>
      </w:pPr>
      <w:r>
        <w:rPr>
          <w:rFonts w:ascii="Times New Roman"/>
          <w:b w:val="false"/>
          <w:i w:val="false"/>
          <w:color w:val="000000"/>
          <w:sz w:val="28"/>
        </w:rPr>
        <w:t>
      b) grants;</w:t>
      </w:r>
    </w:p>
    <w:bookmarkEnd w:id="42"/>
    <w:bookmarkStart w:name="z50" w:id="43"/>
    <w:p>
      <w:pPr>
        <w:spacing w:after="0"/>
        <w:ind w:left="0"/>
        <w:jc w:val="both"/>
      </w:pPr>
      <w:r>
        <w:rPr>
          <w:rFonts w:ascii="Times New Roman"/>
          <w:b w:val="false"/>
          <w:i w:val="false"/>
          <w:color w:val="000000"/>
          <w:sz w:val="28"/>
        </w:rPr>
        <w:t>
      c) payments to the budget of the Foundation from voluntary contributions, the amount of which shall not be limited;</w:t>
      </w:r>
    </w:p>
    <w:bookmarkEnd w:id="43"/>
    <w:bookmarkStart w:name="z51" w:id="44"/>
    <w:p>
      <w:pPr>
        <w:spacing w:after="0"/>
        <w:ind w:left="0"/>
        <w:jc w:val="both"/>
      </w:pPr>
      <w:r>
        <w:rPr>
          <w:rFonts w:ascii="Times New Roman"/>
          <w:b w:val="false"/>
          <w:i w:val="false"/>
          <w:color w:val="000000"/>
          <w:sz w:val="28"/>
        </w:rPr>
        <w:t>
      d) voluntary contributions in monetary and / or other form, which can also be accepted from observer countries of the Foundation, other states, observer organizations of the Foundation, other international organizations and foundations, legal entities and individuals subject to the approval of the Parties;</w:t>
      </w:r>
    </w:p>
    <w:bookmarkEnd w:id="44"/>
    <w:bookmarkStart w:name="z52" w:id="45"/>
    <w:p>
      <w:pPr>
        <w:spacing w:after="0"/>
        <w:ind w:left="0"/>
        <w:jc w:val="both"/>
      </w:pPr>
      <w:r>
        <w:rPr>
          <w:rFonts w:ascii="Times New Roman"/>
          <w:b w:val="false"/>
          <w:i w:val="false"/>
          <w:color w:val="000000"/>
          <w:sz w:val="28"/>
        </w:rPr>
        <w:t>
      e) other incomes, including interest and other incomes, provided that they do not contradict the goals and objectives of the Foundation.</w:t>
      </w:r>
    </w:p>
    <w:bookmarkEnd w:id="45"/>
    <w:bookmarkStart w:name="z53" w:id="46"/>
    <w:p>
      <w:pPr>
        <w:spacing w:after="0"/>
        <w:ind w:left="0"/>
        <w:jc w:val="both"/>
      </w:pPr>
      <w:r>
        <w:rPr>
          <w:rFonts w:ascii="Times New Roman"/>
          <w:b w:val="false"/>
          <w:i w:val="false"/>
          <w:color w:val="000000"/>
          <w:sz w:val="28"/>
        </w:rPr>
        <w:t>
      3.4. Costs shall include:</w:t>
      </w:r>
    </w:p>
    <w:bookmarkEnd w:id="46"/>
    <w:bookmarkStart w:name="z54" w:id="47"/>
    <w:p>
      <w:pPr>
        <w:spacing w:after="0"/>
        <w:ind w:left="0"/>
        <w:jc w:val="both"/>
      </w:pPr>
      <w:r>
        <w:rPr>
          <w:rFonts w:ascii="Times New Roman"/>
          <w:b w:val="false"/>
          <w:i w:val="false"/>
          <w:color w:val="000000"/>
          <w:sz w:val="28"/>
        </w:rPr>
        <w:t>
      a) cultural and scientific expenses:</w:t>
      </w:r>
    </w:p>
    <w:bookmarkEnd w:id="47"/>
    <w:bookmarkStart w:name="z55" w:id="48"/>
    <w:p>
      <w:pPr>
        <w:spacing w:after="0"/>
        <w:ind w:left="0"/>
        <w:jc w:val="both"/>
      </w:pPr>
      <w:r>
        <w:rPr>
          <w:rFonts w:ascii="Times New Roman"/>
          <w:b w:val="false"/>
          <w:i w:val="false"/>
          <w:color w:val="000000"/>
          <w:sz w:val="28"/>
        </w:rPr>
        <w:t>
      1) research expenses;</w:t>
      </w:r>
    </w:p>
    <w:bookmarkEnd w:id="48"/>
    <w:bookmarkStart w:name="z56" w:id="49"/>
    <w:p>
      <w:pPr>
        <w:spacing w:after="0"/>
        <w:ind w:left="0"/>
        <w:jc w:val="both"/>
      </w:pPr>
      <w:r>
        <w:rPr>
          <w:rFonts w:ascii="Times New Roman"/>
          <w:b w:val="false"/>
          <w:i w:val="false"/>
          <w:color w:val="000000"/>
          <w:sz w:val="28"/>
        </w:rPr>
        <w:t>
      2) project costs;</w:t>
      </w:r>
    </w:p>
    <w:bookmarkEnd w:id="49"/>
    <w:bookmarkStart w:name="z57" w:id="50"/>
    <w:p>
      <w:pPr>
        <w:spacing w:after="0"/>
        <w:ind w:left="0"/>
        <w:jc w:val="both"/>
      </w:pPr>
      <w:r>
        <w:rPr>
          <w:rFonts w:ascii="Times New Roman"/>
          <w:b w:val="false"/>
          <w:i w:val="false"/>
          <w:color w:val="000000"/>
          <w:sz w:val="28"/>
        </w:rPr>
        <w:t>
      3) expenses for symposia, scientific conferences and meetings;</w:t>
      </w:r>
    </w:p>
    <w:bookmarkEnd w:id="50"/>
    <w:bookmarkStart w:name="z58" w:id="51"/>
    <w:p>
      <w:pPr>
        <w:spacing w:after="0"/>
        <w:ind w:left="0"/>
        <w:jc w:val="both"/>
      </w:pPr>
      <w:r>
        <w:rPr>
          <w:rFonts w:ascii="Times New Roman"/>
          <w:b w:val="false"/>
          <w:i w:val="false"/>
          <w:color w:val="000000"/>
          <w:sz w:val="28"/>
        </w:rPr>
        <w:t>
      4) printing costs;</w:t>
      </w:r>
    </w:p>
    <w:bookmarkEnd w:id="51"/>
    <w:bookmarkStart w:name="z59" w:id="52"/>
    <w:p>
      <w:pPr>
        <w:spacing w:after="0"/>
        <w:ind w:left="0"/>
        <w:jc w:val="both"/>
      </w:pPr>
      <w:r>
        <w:rPr>
          <w:rFonts w:ascii="Times New Roman"/>
          <w:b w:val="false"/>
          <w:i w:val="false"/>
          <w:color w:val="000000"/>
          <w:sz w:val="28"/>
        </w:rPr>
        <w:t>
      5) outsourcing;</w:t>
      </w:r>
    </w:p>
    <w:bookmarkEnd w:id="52"/>
    <w:bookmarkStart w:name="z60" w:id="53"/>
    <w:p>
      <w:pPr>
        <w:spacing w:after="0"/>
        <w:ind w:left="0"/>
        <w:jc w:val="both"/>
      </w:pPr>
      <w:r>
        <w:rPr>
          <w:rFonts w:ascii="Times New Roman"/>
          <w:b w:val="false"/>
          <w:i w:val="false"/>
          <w:color w:val="000000"/>
          <w:sz w:val="28"/>
        </w:rPr>
        <w:t>
      6) consulting;</w:t>
      </w:r>
    </w:p>
    <w:bookmarkEnd w:id="53"/>
    <w:bookmarkStart w:name="z61" w:id="54"/>
    <w:p>
      <w:pPr>
        <w:spacing w:after="0"/>
        <w:ind w:left="0"/>
        <w:jc w:val="both"/>
      </w:pPr>
      <w:r>
        <w:rPr>
          <w:rFonts w:ascii="Times New Roman"/>
          <w:b w:val="false"/>
          <w:i w:val="false"/>
          <w:color w:val="000000"/>
          <w:sz w:val="28"/>
        </w:rPr>
        <w:t>
      b) personnel costs:</w:t>
      </w:r>
    </w:p>
    <w:bookmarkEnd w:id="54"/>
    <w:bookmarkStart w:name="z62" w:id="55"/>
    <w:p>
      <w:pPr>
        <w:spacing w:after="0"/>
        <w:ind w:left="0"/>
        <w:jc w:val="both"/>
      </w:pPr>
      <w:r>
        <w:rPr>
          <w:rFonts w:ascii="Times New Roman"/>
          <w:b w:val="false"/>
          <w:i w:val="false"/>
          <w:color w:val="000000"/>
          <w:sz w:val="28"/>
        </w:rPr>
        <w:t>
      a) remuneration of the president, including:</w:t>
      </w:r>
    </w:p>
    <w:bookmarkEnd w:id="55"/>
    <w:bookmarkStart w:name="z63" w:id="56"/>
    <w:p>
      <w:pPr>
        <w:spacing w:after="0"/>
        <w:ind w:left="0"/>
        <w:jc w:val="both"/>
      </w:pPr>
      <w:r>
        <w:rPr>
          <w:rFonts w:ascii="Times New Roman"/>
          <w:b w:val="false"/>
          <w:i w:val="false"/>
          <w:color w:val="000000"/>
          <w:sz w:val="28"/>
        </w:rPr>
        <w:t>
      1) medical insurance;</w:t>
      </w:r>
    </w:p>
    <w:bookmarkEnd w:id="56"/>
    <w:bookmarkStart w:name="z64" w:id="57"/>
    <w:p>
      <w:pPr>
        <w:spacing w:after="0"/>
        <w:ind w:left="0"/>
        <w:jc w:val="both"/>
      </w:pPr>
      <w:r>
        <w:rPr>
          <w:rFonts w:ascii="Times New Roman"/>
          <w:b w:val="false"/>
          <w:i w:val="false"/>
          <w:color w:val="000000"/>
          <w:sz w:val="28"/>
        </w:rPr>
        <w:t>
      2) dependency allowance;</w:t>
      </w:r>
    </w:p>
    <w:bookmarkEnd w:id="57"/>
    <w:bookmarkStart w:name="z65" w:id="58"/>
    <w:p>
      <w:pPr>
        <w:spacing w:after="0"/>
        <w:ind w:left="0"/>
        <w:jc w:val="both"/>
      </w:pPr>
      <w:r>
        <w:rPr>
          <w:rFonts w:ascii="Times New Roman"/>
          <w:b w:val="false"/>
          <w:i w:val="false"/>
          <w:color w:val="000000"/>
          <w:sz w:val="28"/>
        </w:rPr>
        <w:t>
      3) educational grant;</w:t>
      </w:r>
    </w:p>
    <w:bookmarkEnd w:id="58"/>
    <w:bookmarkStart w:name="z66" w:id="59"/>
    <w:p>
      <w:pPr>
        <w:spacing w:after="0"/>
        <w:ind w:left="0"/>
        <w:jc w:val="both"/>
      </w:pPr>
      <w:r>
        <w:rPr>
          <w:rFonts w:ascii="Times New Roman"/>
          <w:b w:val="false"/>
          <w:i w:val="false"/>
          <w:color w:val="000000"/>
          <w:sz w:val="28"/>
        </w:rPr>
        <w:t>
      4) housing rental allowance;</w:t>
      </w:r>
    </w:p>
    <w:bookmarkEnd w:id="59"/>
    <w:bookmarkStart w:name="z67" w:id="60"/>
    <w:p>
      <w:pPr>
        <w:spacing w:after="0"/>
        <w:ind w:left="0"/>
        <w:jc w:val="both"/>
      </w:pPr>
      <w:r>
        <w:rPr>
          <w:rFonts w:ascii="Times New Roman"/>
          <w:b w:val="false"/>
          <w:i w:val="false"/>
          <w:color w:val="000000"/>
          <w:sz w:val="28"/>
        </w:rPr>
        <w:t>
      5) rotation allowance;</w:t>
      </w:r>
    </w:p>
    <w:bookmarkEnd w:id="60"/>
    <w:bookmarkStart w:name="z68" w:id="61"/>
    <w:p>
      <w:pPr>
        <w:spacing w:after="0"/>
        <w:ind w:left="0"/>
        <w:jc w:val="both"/>
      </w:pPr>
      <w:r>
        <w:rPr>
          <w:rFonts w:ascii="Times New Roman"/>
          <w:b w:val="false"/>
          <w:i w:val="false"/>
          <w:color w:val="000000"/>
          <w:sz w:val="28"/>
        </w:rPr>
        <w:t>
      6) vacation bonus (once a year);</w:t>
      </w:r>
    </w:p>
    <w:bookmarkEnd w:id="61"/>
    <w:bookmarkStart w:name="z69" w:id="62"/>
    <w:p>
      <w:pPr>
        <w:spacing w:after="0"/>
        <w:ind w:left="0"/>
        <w:jc w:val="both"/>
      </w:pPr>
      <w:r>
        <w:rPr>
          <w:rFonts w:ascii="Times New Roman"/>
          <w:b w:val="false"/>
          <w:i w:val="false"/>
          <w:color w:val="000000"/>
          <w:sz w:val="28"/>
        </w:rPr>
        <w:t>
      7) hospitality expenses;</w:t>
      </w:r>
    </w:p>
    <w:bookmarkEnd w:id="62"/>
    <w:bookmarkStart w:name="z70" w:id="63"/>
    <w:p>
      <w:pPr>
        <w:spacing w:after="0"/>
        <w:ind w:left="0"/>
        <w:jc w:val="both"/>
      </w:pPr>
      <w:r>
        <w:rPr>
          <w:rFonts w:ascii="Times New Roman"/>
          <w:b w:val="false"/>
          <w:i w:val="false"/>
          <w:color w:val="000000"/>
          <w:sz w:val="28"/>
        </w:rPr>
        <w:t>
      8) contributions for pension and social security;</w:t>
      </w:r>
    </w:p>
    <w:bookmarkEnd w:id="63"/>
    <w:bookmarkStart w:name="z71" w:id="64"/>
    <w:p>
      <w:pPr>
        <w:spacing w:after="0"/>
        <w:ind w:left="0"/>
        <w:jc w:val="both"/>
      </w:pPr>
      <w:r>
        <w:rPr>
          <w:rFonts w:ascii="Times New Roman"/>
          <w:b w:val="false"/>
          <w:i w:val="false"/>
          <w:color w:val="000000"/>
          <w:sz w:val="28"/>
        </w:rPr>
        <w:t>
      b) remuneration of professional personnel, including:</w:t>
      </w:r>
    </w:p>
    <w:bookmarkEnd w:id="64"/>
    <w:bookmarkStart w:name="z72" w:id="65"/>
    <w:p>
      <w:pPr>
        <w:spacing w:after="0"/>
        <w:ind w:left="0"/>
        <w:jc w:val="both"/>
      </w:pPr>
      <w:r>
        <w:rPr>
          <w:rFonts w:ascii="Times New Roman"/>
          <w:b w:val="false"/>
          <w:i w:val="false"/>
          <w:color w:val="000000"/>
          <w:sz w:val="28"/>
        </w:rPr>
        <w:t>
      1) medical insurance;</w:t>
      </w:r>
    </w:p>
    <w:bookmarkEnd w:id="65"/>
    <w:bookmarkStart w:name="z73" w:id="66"/>
    <w:p>
      <w:pPr>
        <w:spacing w:after="0"/>
        <w:ind w:left="0"/>
        <w:jc w:val="both"/>
      </w:pPr>
      <w:r>
        <w:rPr>
          <w:rFonts w:ascii="Times New Roman"/>
          <w:b w:val="false"/>
          <w:i w:val="false"/>
          <w:color w:val="000000"/>
          <w:sz w:val="28"/>
        </w:rPr>
        <w:t>
      2) dependency allowance;</w:t>
      </w:r>
    </w:p>
    <w:bookmarkEnd w:id="66"/>
    <w:bookmarkStart w:name="z74" w:id="67"/>
    <w:p>
      <w:pPr>
        <w:spacing w:after="0"/>
        <w:ind w:left="0"/>
        <w:jc w:val="both"/>
      </w:pPr>
      <w:r>
        <w:rPr>
          <w:rFonts w:ascii="Times New Roman"/>
          <w:b w:val="false"/>
          <w:i w:val="false"/>
          <w:color w:val="000000"/>
          <w:sz w:val="28"/>
        </w:rPr>
        <w:t>
      3) educational grant;</w:t>
      </w:r>
    </w:p>
    <w:bookmarkEnd w:id="67"/>
    <w:bookmarkStart w:name="z75" w:id="68"/>
    <w:p>
      <w:pPr>
        <w:spacing w:after="0"/>
        <w:ind w:left="0"/>
        <w:jc w:val="both"/>
      </w:pPr>
      <w:r>
        <w:rPr>
          <w:rFonts w:ascii="Times New Roman"/>
          <w:b w:val="false"/>
          <w:i w:val="false"/>
          <w:color w:val="000000"/>
          <w:sz w:val="28"/>
        </w:rPr>
        <w:t>
      4) rotation allowance;</w:t>
      </w:r>
    </w:p>
    <w:bookmarkEnd w:id="68"/>
    <w:bookmarkStart w:name="z76" w:id="69"/>
    <w:p>
      <w:pPr>
        <w:spacing w:after="0"/>
        <w:ind w:left="0"/>
        <w:jc w:val="both"/>
      </w:pPr>
      <w:r>
        <w:rPr>
          <w:rFonts w:ascii="Times New Roman"/>
          <w:b w:val="false"/>
          <w:i w:val="false"/>
          <w:color w:val="000000"/>
          <w:sz w:val="28"/>
        </w:rPr>
        <w:t>
      5) vacation bonus (once a year);</w:t>
      </w:r>
    </w:p>
    <w:bookmarkEnd w:id="69"/>
    <w:bookmarkStart w:name="z77" w:id="70"/>
    <w:p>
      <w:pPr>
        <w:spacing w:after="0"/>
        <w:ind w:left="0"/>
        <w:jc w:val="both"/>
      </w:pPr>
      <w:r>
        <w:rPr>
          <w:rFonts w:ascii="Times New Roman"/>
          <w:b w:val="false"/>
          <w:i w:val="false"/>
          <w:color w:val="000000"/>
          <w:sz w:val="28"/>
        </w:rPr>
        <w:t>
      6) contributions for pension and social security;</w:t>
      </w:r>
    </w:p>
    <w:bookmarkEnd w:id="70"/>
    <w:bookmarkStart w:name="z78" w:id="71"/>
    <w:p>
      <w:pPr>
        <w:spacing w:after="0"/>
        <w:ind w:left="0"/>
        <w:jc w:val="both"/>
      </w:pPr>
      <w:r>
        <w:rPr>
          <w:rFonts w:ascii="Times New Roman"/>
          <w:b w:val="false"/>
          <w:i w:val="false"/>
          <w:color w:val="000000"/>
          <w:sz w:val="28"/>
        </w:rPr>
        <w:t>
      c) remuneration of general service personnel, including:</w:t>
      </w:r>
    </w:p>
    <w:bookmarkEnd w:id="71"/>
    <w:bookmarkStart w:name="z79" w:id="72"/>
    <w:p>
      <w:pPr>
        <w:spacing w:after="0"/>
        <w:ind w:left="0"/>
        <w:jc w:val="both"/>
      </w:pPr>
      <w:r>
        <w:rPr>
          <w:rFonts w:ascii="Times New Roman"/>
          <w:b w:val="false"/>
          <w:i w:val="false"/>
          <w:color w:val="000000"/>
          <w:sz w:val="28"/>
        </w:rPr>
        <w:t>
      1) medical insurance;</w:t>
      </w:r>
    </w:p>
    <w:bookmarkEnd w:id="72"/>
    <w:bookmarkStart w:name="z80" w:id="73"/>
    <w:p>
      <w:pPr>
        <w:spacing w:after="0"/>
        <w:ind w:left="0"/>
        <w:jc w:val="both"/>
      </w:pPr>
      <w:r>
        <w:rPr>
          <w:rFonts w:ascii="Times New Roman"/>
          <w:b w:val="false"/>
          <w:i w:val="false"/>
          <w:color w:val="000000"/>
          <w:sz w:val="28"/>
        </w:rPr>
        <w:t>
      2) dependency allowance;</w:t>
      </w:r>
    </w:p>
    <w:bookmarkEnd w:id="73"/>
    <w:bookmarkStart w:name="z81" w:id="74"/>
    <w:p>
      <w:pPr>
        <w:spacing w:after="0"/>
        <w:ind w:left="0"/>
        <w:jc w:val="both"/>
      </w:pPr>
      <w:r>
        <w:rPr>
          <w:rFonts w:ascii="Times New Roman"/>
          <w:b w:val="false"/>
          <w:i w:val="false"/>
          <w:color w:val="000000"/>
          <w:sz w:val="28"/>
        </w:rPr>
        <w:t>
      3) contributions for pension and social security;</w:t>
      </w:r>
    </w:p>
    <w:bookmarkEnd w:id="74"/>
    <w:bookmarkStart w:name="z82" w:id="75"/>
    <w:p>
      <w:pPr>
        <w:spacing w:after="0"/>
        <w:ind w:left="0"/>
        <w:jc w:val="both"/>
      </w:pPr>
      <w:r>
        <w:rPr>
          <w:rFonts w:ascii="Times New Roman"/>
          <w:b w:val="false"/>
          <w:i w:val="false"/>
          <w:color w:val="000000"/>
          <w:sz w:val="28"/>
        </w:rPr>
        <w:t>
      d) severance pay in the event of personnel contracts’ termination;</w:t>
      </w:r>
    </w:p>
    <w:bookmarkEnd w:id="75"/>
    <w:bookmarkStart w:name="z83" w:id="76"/>
    <w:p>
      <w:pPr>
        <w:spacing w:after="0"/>
        <w:ind w:left="0"/>
        <w:jc w:val="both"/>
      </w:pPr>
      <w:r>
        <w:rPr>
          <w:rFonts w:ascii="Times New Roman"/>
          <w:b w:val="false"/>
          <w:i w:val="false"/>
          <w:color w:val="000000"/>
          <w:sz w:val="28"/>
        </w:rPr>
        <w:t>
      e) travel expenses of the Foundation’s personnel, including daily subsistence, transport expenses and hotel accommodation;</w:t>
      </w:r>
    </w:p>
    <w:bookmarkEnd w:id="76"/>
    <w:bookmarkStart w:name="z84" w:id="77"/>
    <w:p>
      <w:pPr>
        <w:spacing w:after="0"/>
        <w:ind w:left="0"/>
        <w:jc w:val="both"/>
      </w:pPr>
      <w:r>
        <w:rPr>
          <w:rFonts w:ascii="Times New Roman"/>
          <w:b w:val="false"/>
          <w:i w:val="false"/>
          <w:color w:val="000000"/>
          <w:sz w:val="28"/>
        </w:rPr>
        <w:t>
      f) training of the Foundation’s personnel;</w:t>
      </w:r>
    </w:p>
    <w:bookmarkEnd w:id="77"/>
    <w:bookmarkStart w:name="z85" w:id="78"/>
    <w:p>
      <w:pPr>
        <w:spacing w:after="0"/>
        <w:ind w:left="0"/>
        <w:jc w:val="both"/>
      </w:pPr>
      <w:r>
        <w:rPr>
          <w:rFonts w:ascii="Times New Roman"/>
          <w:b w:val="false"/>
          <w:i w:val="false"/>
          <w:color w:val="000000"/>
          <w:sz w:val="28"/>
        </w:rPr>
        <w:t>
      g) expenses of candidates.</w:t>
      </w:r>
    </w:p>
    <w:bookmarkEnd w:id="78"/>
    <w:bookmarkStart w:name="z86" w:id="79"/>
    <w:p>
      <w:pPr>
        <w:spacing w:after="0"/>
        <w:ind w:left="0"/>
        <w:jc w:val="both"/>
      </w:pPr>
      <w:r>
        <w:rPr>
          <w:rFonts w:ascii="Times New Roman"/>
          <w:b w:val="false"/>
          <w:i w:val="false"/>
          <w:color w:val="000000"/>
          <w:sz w:val="28"/>
        </w:rPr>
        <w:t>
      Dependency allowance and educational expenses shall not apply to citizens of the host state;</w:t>
      </w:r>
    </w:p>
    <w:bookmarkEnd w:id="79"/>
    <w:bookmarkStart w:name="z87" w:id="80"/>
    <w:p>
      <w:pPr>
        <w:spacing w:after="0"/>
        <w:ind w:left="0"/>
        <w:jc w:val="both"/>
      </w:pPr>
      <w:r>
        <w:rPr>
          <w:rFonts w:ascii="Times New Roman"/>
          <w:b w:val="false"/>
          <w:i w:val="false"/>
          <w:color w:val="000000"/>
          <w:sz w:val="28"/>
        </w:rPr>
        <w:t>
      c) administrative expenses:</w:t>
      </w:r>
    </w:p>
    <w:bookmarkEnd w:id="80"/>
    <w:bookmarkStart w:name="z88" w:id="81"/>
    <w:p>
      <w:pPr>
        <w:spacing w:after="0"/>
        <w:ind w:left="0"/>
        <w:jc w:val="both"/>
      </w:pPr>
      <w:r>
        <w:rPr>
          <w:rFonts w:ascii="Times New Roman"/>
          <w:b w:val="false"/>
          <w:i w:val="false"/>
          <w:color w:val="000000"/>
          <w:sz w:val="28"/>
        </w:rPr>
        <w:t>
      1) expenses for insurance of the Foundation’s personnel against accidents in the performance of their work-related (official) duties;</w:t>
      </w:r>
    </w:p>
    <w:bookmarkEnd w:id="81"/>
    <w:bookmarkStart w:name="z89" w:id="82"/>
    <w:p>
      <w:pPr>
        <w:spacing w:after="0"/>
        <w:ind w:left="0"/>
        <w:jc w:val="both"/>
      </w:pPr>
      <w:r>
        <w:rPr>
          <w:rFonts w:ascii="Times New Roman"/>
          <w:b w:val="false"/>
          <w:i w:val="false"/>
          <w:color w:val="000000"/>
          <w:sz w:val="28"/>
        </w:rPr>
        <w:t>
      2) compulsory social insurance;</w:t>
      </w:r>
    </w:p>
    <w:bookmarkEnd w:id="82"/>
    <w:bookmarkStart w:name="z90" w:id="83"/>
    <w:p>
      <w:pPr>
        <w:spacing w:after="0"/>
        <w:ind w:left="0"/>
        <w:jc w:val="both"/>
      </w:pPr>
      <w:r>
        <w:rPr>
          <w:rFonts w:ascii="Times New Roman"/>
          <w:b w:val="false"/>
          <w:i w:val="false"/>
          <w:color w:val="000000"/>
          <w:sz w:val="28"/>
        </w:rPr>
        <w:t>
      3) purchase of commodities and services for the Foundation;</w:t>
      </w:r>
    </w:p>
    <w:bookmarkEnd w:id="83"/>
    <w:bookmarkStart w:name="z91" w:id="84"/>
    <w:p>
      <w:pPr>
        <w:spacing w:after="0"/>
        <w:ind w:left="0"/>
        <w:jc w:val="both"/>
      </w:pPr>
      <w:r>
        <w:rPr>
          <w:rFonts w:ascii="Times New Roman"/>
          <w:b w:val="false"/>
          <w:i w:val="false"/>
          <w:color w:val="000000"/>
          <w:sz w:val="28"/>
        </w:rPr>
        <w:t>
      4) acquisition of office equipment and furniture, road transport and other assets necessary for the functioning of the Foundation;</w:t>
      </w:r>
    </w:p>
    <w:bookmarkEnd w:id="84"/>
    <w:bookmarkStart w:name="z92" w:id="85"/>
    <w:p>
      <w:pPr>
        <w:spacing w:after="0"/>
        <w:ind w:left="0"/>
        <w:jc w:val="both"/>
      </w:pPr>
      <w:r>
        <w:rPr>
          <w:rFonts w:ascii="Times New Roman"/>
          <w:b w:val="false"/>
          <w:i w:val="false"/>
          <w:color w:val="000000"/>
          <w:sz w:val="28"/>
        </w:rPr>
        <w:t>
      5) maintenance and repair of real estate, office furniture, equipment, cars and other means;</w:t>
      </w:r>
    </w:p>
    <w:bookmarkEnd w:id="85"/>
    <w:bookmarkStart w:name="z93" w:id="86"/>
    <w:p>
      <w:pPr>
        <w:spacing w:after="0"/>
        <w:ind w:left="0"/>
        <w:jc w:val="both"/>
      </w:pPr>
      <w:r>
        <w:rPr>
          <w:rFonts w:ascii="Times New Roman"/>
          <w:b w:val="false"/>
          <w:i w:val="false"/>
          <w:color w:val="000000"/>
          <w:sz w:val="28"/>
        </w:rPr>
        <w:t>
      6) protocol costs;</w:t>
      </w:r>
    </w:p>
    <w:bookmarkEnd w:id="86"/>
    <w:bookmarkStart w:name="z94" w:id="87"/>
    <w:p>
      <w:pPr>
        <w:spacing w:after="0"/>
        <w:ind w:left="0"/>
        <w:jc w:val="both"/>
      </w:pPr>
      <w:r>
        <w:rPr>
          <w:rFonts w:ascii="Times New Roman"/>
          <w:b w:val="false"/>
          <w:i w:val="false"/>
          <w:color w:val="000000"/>
          <w:sz w:val="28"/>
        </w:rPr>
        <w:t>
      7) travel expenses of the Council members, including travel expenses, hotel accommodation and daily subsistence allowance.</w:t>
      </w:r>
    </w:p>
    <w:bookmarkEnd w:id="87"/>
    <w:bookmarkStart w:name="z95" w:id="88"/>
    <w:p>
      <w:pPr>
        <w:spacing w:after="0"/>
        <w:ind w:left="0"/>
        <w:jc w:val="both"/>
      </w:pPr>
      <w:r>
        <w:rPr>
          <w:rFonts w:ascii="Times New Roman"/>
          <w:b w:val="false"/>
          <w:i w:val="false"/>
          <w:color w:val="000000"/>
          <w:sz w:val="28"/>
        </w:rPr>
        <w:t>
      3.5. The staffing table of the Foundation, indicating expenses according to the rank and salary of the Foundation staff for the financial year, shall be developed by the Foundation and, after the approval of the CSO, shall be approved by the CFM.</w:t>
      </w:r>
    </w:p>
    <w:bookmarkEnd w:id="88"/>
    <w:bookmarkStart w:name="z96" w:id="89"/>
    <w:p>
      <w:pPr>
        <w:spacing w:after="0"/>
        <w:ind w:left="0"/>
        <w:jc w:val="left"/>
      </w:pPr>
      <w:r>
        <w:rPr>
          <w:rFonts w:ascii="Times New Roman"/>
          <w:b/>
          <w:i w:val="false"/>
          <w:color w:val="000000"/>
        </w:rPr>
        <w:t xml:space="preserve"> Article 4 Budget execution</w:t>
      </w:r>
    </w:p>
    <w:bookmarkEnd w:id="89"/>
    <w:bookmarkStart w:name="z97" w:id="90"/>
    <w:p>
      <w:pPr>
        <w:spacing w:after="0"/>
        <w:ind w:left="0"/>
        <w:jc w:val="both"/>
      </w:pPr>
      <w:r>
        <w:rPr>
          <w:rFonts w:ascii="Times New Roman"/>
          <w:b w:val="false"/>
          <w:i w:val="false"/>
          <w:color w:val="000000"/>
          <w:sz w:val="28"/>
        </w:rPr>
        <w:t>
      4.1. The budget shall be administered by the President.</w:t>
      </w:r>
    </w:p>
    <w:bookmarkEnd w:id="90"/>
    <w:bookmarkStart w:name="z98" w:id="91"/>
    <w:p>
      <w:pPr>
        <w:spacing w:after="0"/>
        <w:ind w:left="0"/>
        <w:jc w:val="both"/>
      </w:pPr>
      <w:r>
        <w:rPr>
          <w:rFonts w:ascii="Times New Roman"/>
          <w:b w:val="false"/>
          <w:i w:val="false"/>
          <w:color w:val="000000"/>
          <w:sz w:val="28"/>
        </w:rPr>
        <w:t>
      4.2. The specific amount of each Party’s contributions shall be indicated in the budget.</w:t>
      </w:r>
    </w:p>
    <w:bookmarkEnd w:id="91"/>
    <w:bookmarkStart w:name="z99" w:id="92"/>
    <w:p>
      <w:pPr>
        <w:spacing w:after="0"/>
        <w:ind w:left="0"/>
        <w:jc w:val="both"/>
      </w:pPr>
      <w:r>
        <w:rPr>
          <w:rFonts w:ascii="Times New Roman"/>
          <w:b w:val="false"/>
          <w:i w:val="false"/>
          <w:color w:val="000000"/>
          <w:sz w:val="28"/>
        </w:rPr>
        <w:t>
      4.3. Annual contributions to the budget shall be calculated and paid in U.S. dollars.</w:t>
      </w:r>
    </w:p>
    <w:bookmarkEnd w:id="92"/>
    <w:bookmarkStart w:name="z100" w:id="93"/>
    <w:p>
      <w:pPr>
        <w:spacing w:after="0"/>
        <w:ind w:left="0"/>
        <w:jc w:val="both"/>
      </w:pPr>
      <w:r>
        <w:rPr>
          <w:rFonts w:ascii="Times New Roman"/>
          <w:b w:val="false"/>
          <w:i w:val="false"/>
          <w:color w:val="000000"/>
          <w:sz w:val="28"/>
        </w:rPr>
        <w:t>
      4.4. The Foundation, through the Secretariat of the Turkic Council, shall notify the CFM about the timing of the mandatory contributions transfer to the budget in full.</w:t>
      </w:r>
    </w:p>
    <w:bookmarkEnd w:id="93"/>
    <w:bookmarkStart w:name="z101" w:id="94"/>
    <w:p>
      <w:pPr>
        <w:spacing w:after="0"/>
        <w:ind w:left="0"/>
        <w:jc w:val="both"/>
      </w:pPr>
      <w:r>
        <w:rPr>
          <w:rFonts w:ascii="Times New Roman"/>
          <w:b w:val="false"/>
          <w:i w:val="false"/>
          <w:color w:val="000000"/>
          <w:sz w:val="28"/>
        </w:rPr>
        <w:t>
      4.5. The due contributions shall be paid preferably within the first three months of the financial year. However, if this is not possible due to national law, payments can be made in four intervals and at the beginning of every three months.</w:t>
      </w:r>
    </w:p>
    <w:bookmarkEnd w:id="94"/>
    <w:bookmarkStart w:name="z102" w:id="95"/>
    <w:p>
      <w:pPr>
        <w:spacing w:after="0"/>
        <w:ind w:left="0"/>
        <w:jc w:val="left"/>
      </w:pPr>
      <w:r>
        <w:rPr>
          <w:rFonts w:ascii="Times New Roman"/>
          <w:b/>
          <w:i w:val="false"/>
          <w:color w:val="000000"/>
        </w:rPr>
        <w:t xml:space="preserve"> Article 5 Cost estimate</w:t>
      </w:r>
    </w:p>
    <w:bookmarkEnd w:id="95"/>
    <w:bookmarkStart w:name="z103" w:id="96"/>
    <w:p>
      <w:pPr>
        <w:spacing w:after="0"/>
        <w:ind w:left="0"/>
        <w:jc w:val="both"/>
      </w:pPr>
      <w:r>
        <w:rPr>
          <w:rFonts w:ascii="Times New Roman"/>
          <w:b w:val="false"/>
          <w:i w:val="false"/>
          <w:color w:val="000000"/>
          <w:sz w:val="28"/>
        </w:rPr>
        <w:t>
      5.1. The budget of the Foundation shall be executed in accordance with the cost estimate - a document that includes expenses for the financial year.</w:t>
      </w:r>
    </w:p>
    <w:bookmarkEnd w:id="96"/>
    <w:bookmarkStart w:name="z104" w:id="97"/>
    <w:p>
      <w:pPr>
        <w:spacing w:after="0"/>
        <w:ind w:left="0"/>
        <w:jc w:val="both"/>
      </w:pPr>
      <w:r>
        <w:rPr>
          <w:rFonts w:ascii="Times New Roman"/>
          <w:b w:val="false"/>
          <w:i w:val="false"/>
          <w:color w:val="000000"/>
          <w:sz w:val="28"/>
        </w:rPr>
        <w:t>
      5.2. The president of the Foundation shall draw up the budget draft with calculations and rationale for each expenditure item and direct it via the CSO for examination by the Parties through the Turkic Council Secretariat and for approval by the CFM in the first half of the year preceding the new financial year.</w:t>
      </w:r>
    </w:p>
    <w:bookmarkEnd w:id="97"/>
    <w:bookmarkStart w:name="z105" w:id="98"/>
    <w:p>
      <w:pPr>
        <w:spacing w:after="0"/>
        <w:ind w:left="0"/>
        <w:jc w:val="both"/>
      </w:pPr>
      <w:r>
        <w:rPr>
          <w:rFonts w:ascii="Times New Roman"/>
          <w:b w:val="false"/>
          <w:i w:val="false"/>
          <w:color w:val="000000"/>
          <w:sz w:val="28"/>
        </w:rPr>
        <w:t>
      5.3. The CFM shall examine and approve the budget for the next financial year by December 31 of the current year. However, if the budget was not adopted during the year preceding the new fiscal year, the current budget shall be used subject to the approved changes.</w:t>
      </w:r>
    </w:p>
    <w:bookmarkEnd w:id="98"/>
    <w:bookmarkStart w:name="z106" w:id="99"/>
    <w:p>
      <w:pPr>
        <w:spacing w:after="0"/>
        <w:ind w:left="0"/>
        <w:jc w:val="both"/>
      </w:pPr>
      <w:r>
        <w:rPr>
          <w:rFonts w:ascii="Times New Roman"/>
          <w:b w:val="false"/>
          <w:i w:val="false"/>
          <w:color w:val="000000"/>
          <w:sz w:val="28"/>
        </w:rPr>
        <w:t>
      5.4. Cash transactions may be carried out in the national currency of the host country and, where applicable, in the currencies of other countries.</w:t>
      </w:r>
    </w:p>
    <w:bookmarkEnd w:id="99"/>
    <w:bookmarkStart w:name="z107" w:id="100"/>
    <w:p>
      <w:pPr>
        <w:spacing w:after="0"/>
        <w:ind w:left="0"/>
        <w:jc w:val="both"/>
      </w:pPr>
      <w:r>
        <w:rPr>
          <w:rFonts w:ascii="Times New Roman"/>
          <w:b w:val="false"/>
          <w:i w:val="false"/>
          <w:color w:val="000000"/>
          <w:sz w:val="28"/>
        </w:rPr>
        <w:t>
      5.5. For expenditures in local currency, the budgetary exchange rate shall be estimated based on the previous year's average exchange rate set by the host country's central bank.</w:t>
      </w:r>
    </w:p>
    <w:bookmarkEnd w:id="100"/>
    <w:bookmarkStart w:name="z108" w:id="101"/>
    <w:p>
      <w:pPr>
        <w:spacing w:after="0"/>
        <w:ind w:left="0"/>
        <w:jc w:val="both"/>
      </w:pPr>
      <w:r>
        <w:rPr>
          <w:rFonts w:ascii="Times New Roman"/>
          <w:b w:val="false"/>
          <w:i w:val="false"/>
          <w:color w:val="000000"/>
          <w:sz w:val="28"/>
        </w:rPr>
        <w:t>
      5.6. Within the approved budget, the Foundation may transfer the funds from one expenditure item to another, with the exception of the expenditure item on salaries, but not more than 10 percent of the total expenditure approved under these items, by notifying the Parties in advance with an explanation of their actions. In the event that the Parties have not raised objections within 30 (thirty) days from the notification receipt date, the proposed transfers of the funds shall be deemed approved. If the transfer from one item to another item exceeds 10 percent, then the transfer shall be submitted for approval by the CFM.</w:t>
      </w:r>
    </w:p>
    <w:bookmarkEnd w:id="101"/>
    <w:bookmarkStart w:name="z109" w:id="102"/>
    <w:p>
      <w:pPr>
        <w:spacing w:after="0"/>
        <w:ind w:left="0"/>
        <w:jc w:val="both"/>
      </w:pPr>
      <w:r>
        <w:rPr>
          <w:rFonts w:ascii="Times New Roman"/>
          <w:b w:val="false"/>
          <w:i w:val="false"/>
          <w:color w:val="000000"/>
          <w:sz w:val="28"/>
        </w:rPr>
        <w:t>
      5.7. The balances of the Foundation’s budget that were not used for their intended purpose by the end of the financial year must be credited to the income of the next financial year budget. The contributions of each member state must be prorated and shall be transferred to the Parties against their total contributions.</w:t>
      </w:r>
    </w:p>
    <w:bookmarkEnd w:id="102"/>
    <w:bookmarkStart w:name="z110" w:id="103"/>
    <w:p>
      <w:pPr>
        <w:spacing w:after="0"/>
        <w:ind w:left="0"/>
        <w:jc w:val="both"/>
      </w:pPr>
      <w:r>
        <w:rPr>
          <w:rFonts w:ascii="Times New Roman"/>
          <w:b w:val="false"/>
          <w:i w:val="false"/>
          <w:color w:val="000000"/>
          <w:sz w:val="28"/>
        </w:rPr>
        <w:t>
      5.8. The budget balance as of January 1 due to underutilization for the purchase of equipment and durable goods in the previous year shall be used to pay for pending orders.</w:t>
      </w:r>
    </w:p>
    <w:bookmarkEnd w:id="103"/>
    <w:bookmarkStart w:name="z111" w:id="104"/>
    <w:p>
      <w:pPr>
        <w:spacing w:after="0"/>
        <w:ind w:left="0"/>
        <w:jc w:val="left"/>
      </w:pPr>
      <w:r>
        <w:rPr>
          <w:rFonts w:ascii="Times New Roman"/>
          <w:b/>
          <w:i w:val="false"/>
          <w:color w:val="000000"/>
        </w:rPr>
        <w:t xml:space="preserve"> Article 6 Keeping of cash assets</w:t>
      </w:r>
    </w:p>
    <w:bookmarkEnd w:id="104"/>
    <w:bookmarkStart w:name="z112" w:id="105"/>
    <w:p>
      <w:pPr>
        <w:spacing w:after="0"/>
        <w:ind w:left="0"/>
        <w:jc w:val="both"/>
      </w:pPr>
      <w:r>
        <w:rPr>
          <w:rFonts w:ascii="Times New Roman"/>
          <w:b w:val="false"/>
          <w:i w:val="false"/>
          <w:color w:val="000000"/>
          <w:sz w:val="28"/>
        </w:rPr>
        <w:t>
      6.1. The president shall determine the bank accounts in which the Foundation keeps cash assets.</w:t>
      </w:r>
    </w:p>
    <w:bookmarkEnd w:id="105"/>
    <w:bookmarkStart w:name="z113" w:id="106"/>
    <w:p>
      <w:pPr>
        <w:spacing w:after="0"/>
        <w:ind w:left="0"/>
        <w:jc w:val="both"/>
      </w:pPr>
      <w:r>
        <w:rPr>
          <w:rFonts w:ascii="Times New Roman"/>
          <w:b w:val="false"/>
          <w:i w:val="false"/>
          <w:color w:val="000000"/>
          <w:sz w:val="28"/>
        </w:rPr>
        <w:t>
      6.2. The Foundation’s accounts shall be kept in U.S. dollars and in the national currency of the host state. The accounting for the exchange rates of the previous period’s expenses shall be based on the host country's three-month average exchange rate.</w:t>
      </w:r>
    </w:p>
    <w:bookmarkEnd w:id="106"/>
    <w:bookmarkStart w:name="z114" w:id="107"/>
    <w:p>
      <w:pPr>
        <w:spacing w:after="0"/>
        <w:ind w:left="0"/>
        <w:jc w:val="left"/>
      </w:pPr>
      <w:r>
        <w:rPr>
          <w:rFonts w:ascii="Times New Roman"/>
          <w:b/>
          <w:i w:val="false"/>
          <w:color w:val="000000"/>
        </w:rPr>
        <w:t xml:space="preserve"> Article 7 Reporting</w:t>
      </w:r>
    </w:p>
    <w:bookmarkEnd w:id="107"/>
    <w:bookmarkStart w:name="z115" w:id="108"/>
    <w:p>
      <w:pPr>
        <w:spacing w:after="0"/>
        <w:ind w:left="0"/>
        <w:jc w:val="both"/>
      </w:pPr>
      <w:r>
        <w:rPr>
          <w:rFonts w:ascii="Times New Roman"/>
          <w:b w:val="false"/>
          <w:i w:val="false"/>
          <w:color w:val="000000"/>
          <w:sz w:val="28"/>
        </w:rPr>
        <w:t>
      7.1. The president shall exercise control over and shall be accountable to the CFM through the CSO for the management of the Foundation’s financial resources.</w:t>
      </w:r>
    </w:p>
    <w:bookmarkEnd w:id="108"/>
    <w:bookmarkStart w:name="z116" w:id="109"/>
    <w:p>
      <w:pPr>
        <w:spacing w:after="0"/>
        <w:ind w:left="0"/>
        <w:jc w:val="both"/>
      </w:pPr>
      <w:r>
        <w:rPr>
          <w:rFonts w:ascii="Times New Roman"/>
          <w:b w:val="false"/>
          <w:i w:val="false"/>
          <w:color w:val="000000"/>
          <w:sz w:val="28"/>
        </w:rPr>
        <w:t>
      7.2. The President shall submit to the CFM through the CSO an annual financial report / report for each financial year no later than March 31 of the year following the previous financial year.</w:t>
      </w:r>
    </w:p>
    <w:bookmarkEnd w:id="109"/>
    <w:bookmarkStart w:name="z117" w:id="110"/>
    <w:p>
      <w:pPr>
        <w:spacing w:after="0"/>
        <w:ind w:left="0"/>
        <w:jc w:val="both"/>
      </w:pPr>
      <w:r>
        <w:rPr>
          <w:rFonts w:ascii="Times New Roman"/>
          <w:b w:val="false"/>
          <w:i w:val="false"/>
          <w:color w:val="000000"/>
          <w:sz w:val="28"/>
        </w:rPr>
        <w:t>
      7.3. At the end of each fiscal year, the cash balance or deficit shall be determined by calculating the excess of income over expenses or by calculating the excess of expenses over income. In the event of budgetary funds shortage, the president, through the CSO, shall notify the CFM and submit a motion on the necessary financial measures.</w:t>
      </w:r>
    </w:p>
    <w:bookmarkEnd w:id="110"/>
    <w:bookmarkStart w:name="z118" w:id="111"/>
    <w:p>
      <w:pPr>
        <w:spacing w:after="0"/>
        <w:ind w:left="0"/>
        <w:jc w:val="left"/>
      </w:pPr>
      <w:r>
        <w:rPr>
          <w:rFonts w:ascii="Times New Roman"/>
          <w:b/>
          <w:i w:val="false"/>
          <w:color w:val="000000"/>
        </w:rPr>
        <w:t xml:space="preserve"> Article 8 Audit</w:t>
      </w:r>
    </w:p>
    <w:bookmarkEnd w:id="111"/>
    <w:bookmarkStart w:name="z119" w:id="112"/>
    <w:p>
      <w:pPr>
        <w:spacing w:after="0"/>
        <w:ind w:left="0"/>
        <w:jc w:val="both"/>
      </w:pPr>
      <w:r>
        <w:rPr>
          <w:rFonts w:ascii="Times New Roman"/>
          <w:b w:val="false"/>
          <w:i w:val="false"/>
          <w:color w:val="000000"/>
          <w:sz w:val="28"/>
        </w:rPr>
        <w:t>
      8.1. An external audit of the Foundation’s financial activities shall be carried out at the end of each budget period. The audit shall be carried out by an internationally established independent organization (company) authorized by the CFM after approval by the CSO. The president shall submit all the necessary documents to the authorized organization for external audit.</w:t>
      </w:r>
    </w:p>
    <w:bookmarkEnd w:id="112"/>
    <w:bookmarkStart w:name="z120" w:id="113"/>
    <w:p>
      <w:pPr>
        <w:spacing w:after="0"/>
        <w:ind w:left="0"/>
        <w:jc w:val="both"/>
      </w:pPr>
      <w:r>
        <w:rPr>
          <w:rFonts w:ascii="Times New Roman"/>
          <w:b w:val="false"/>
          <w:i w:val="false"/>
          <w:color w:val="000000"/>
          <w:sz w:val="28"/>
        </w:rPr>
        <w:t>
      8.2. Upon the completed external audit, the president shall send an audit report to all the Parties.</w:t>
      </w:r>
    </w:p>
    <w:bookmarkEnd w:id="113"/>
    <w:bookmarkStart w:name="z121" w:id="114"/>
    <w:p>
      <w:pPr>
        <w:spacing w:after="0"/>
        <w:ind w:left="0"/>
        <w:jc w:val="left"/>
      </w:pPr>
      <w:r>
        <w:rPr>
          <w:rFonts w:ascii="Times New Roman"/>
          <w:b/>
          <w:i w:val="false"/>
          <w:color w:val="000000"/>
        </w:rPr>
        <w:t xml:space="preserve"> Article 9 Working assets reserve</w:t>
      </w:r>
    </w:p>
    <w:bookmarkEnd w:id="114"/>
    <w:bookmarkStart w:name="z122" w:id="115"/>
    <w:p>
      <w:pPr>
        <w:spacing w:after="0"/>
        <w:ind w:left="0"/>
        <w:jc w:val="both"/>
      </w:pPr>
      <w:r>
        <w:rPr>
          <w:rFonts w:ascii="Times New Roman"/>
          <w:b w:val="false"/>
          <w:i w:val="false"/>
          <w:color w:val="000000"/>
          <w:sz w:val="28"/>
        </w:rPr>
        <w:t>
      9.1. The working assets reserve shall be part of the budget and shall be used exclusively to finance budgetary appropriations pending the receipt of annual assessed contributions.</w:t>
      </w:r>
    </w:p>
    <w:bookmarkEnd w:id="115"/>
    <w:bookmarkStart w:name="z123" w:id="116"/>
    <w:p>
      <w:pPr>
        <w:spacing w:after="0"/>
        <w:ind w:left="0"/>
        <w:jc w:val="both"/>
      </w:pPr>
      <w:r>
        <w:rPr>
          <w:rFonts w:ascii="Times New Roman"/>
          <w:b w:val="false"/>
          <w:i w:val="false"/>
          <w:color w:val="000000"/>
          <w:sz w:val="28"/>
        </w:rPr>
        <w:t>
      9.2. The amount of the working assets reserve shall be set at no less than 10 percent of the annual budget. Upon receipt of the annual mandatory contributions, the advance shall be returned to the working assets reserve.</w:t>
      </w:r>
    </w:p>
    <w:bookmarkEnd w:id="116"/>
    <w:bookmarkStart w:name="z124" w:id="117"/>
    <w:p>
      <w:pPr>
        <w:spacing w:after="0"/>
        <w:ind w:left="0"/>
        <w:jc w:val="left"/>
      </w:pPr>
      <w:r>
        <w:rPr>
          <w:rFonts w:ascii="Times New Roman"/>
          <w:b/>
          <w:i w:val="false"/>
          <w:color w:val="000000"/>
        </w:rPr>
        <w:t xml:space="preserve"> Article 10 Final Provisions</w:t>
      </w:r>
    </w:p>
    <w:bookmarkEnd w:id="117"/>
    <w:bookmarkStart w:name="z125" w:id="118"/>
    <w:p>
      <w:pPr>
        <w:spacing w:after="0"/>
        <w:ind w:left="0"/>
        <w:jc w:val="both"/>
      </w:pPr>
      <w:r>
        <w:rPr>
          <w:rFonts w:ascii="Times New Roman"/>
          <w:b w:val="false"/>
          <w:i w:val="false"/>
          <w:color w:val="000000"/>
          <w:sz w:val="28"/>
        </w:rPr>
        <w:t>
      10.1. This Agreement shall take effect on the thirtieth day after receipt by the depositary through diplomatic channels of the last written notification of the completion by the Parties of the domestic procedures necessary for its enforcement.</w:t>
      </w:r>
    </w:p>
    <w:bookmarkEnd w:id="118"/>
    <w:bookmarkStart w:name="z126" w:id="119"/>
    <w:p>
      <w:pPr>
        <w:spacing w:after="0"/>
        <w:ind w:left="0"/>
        <w:jc w:val="both"/>
      </w:pPr>
      <w:r>
        <w:rPr>
          <w:rFonts w:ascii="Times New Roman"/>
          <w:b w:val="false"/>
          <w:i w:val="false"/>
          <w:color w:val="000000"/>
          <w:sz w:val="28"/>
        </w:rPr>
        <w:t>
      This Agreement is open to accession of the Turkic-speaking states. The Agreement shall take effect for the acceding state on the thirtieth day after the receipt by the depositary of the accession instrument.</w:t>
      </w:r>
    </w:p>
    <w:bookmarkEnd w:id="119"/>
    <w:bookmarkStart w:name="z127" w:id="120"/>
    <w:p>
      <w:pPr>
        <w:spacing w:after="0"/>
        <w:ind w:left="0"/>
        <w:jc w:val="both"/>
      </w:pPr>
      <w:r>
        <w:rPr>
          <w:rFonts w:ascii="Times New Roman"/>
          <w:b w:val="false"/>
          <w:i w:val="false"/>
          <w:color w:val="000000"/>
          <w:sz w:val="28"/>
        </w:rPr>
        <w:t xml:space="preserve">
      10.2. The Republic of Azerbaijan is the depositary of this Agreement. The depositary shall notify the Parties in writing through diplomatic channels of the date of enforcement of this Agreement, and also the receipt of the instrument of ratification, acceptance, approval or accession. </w:t>
      </w:r>
    </w:p>
    <w:bookmarkEnd w:id="120"/>
    <w:bookmarkStart w:name="z128" w:id="121"/>
    <w:p>
      <w:pPr>
        <w:spacing w:after="0"/>
        <w:ind w:left="0"/>
        <w:jc w:val="both"/>
      </w:pPr>
      <w:r>
        <w:rPr>
          <w:rFonts w:ascii="Times New Roman"/>
          <w:b w:val="false"/>
          <w:i w:val="false"/>
          <w:color w:val="000000"/>
          <w:sz w:val="28"/>
        </w:rPr>
        <w:t>
      10.3. In the event of disagreements regarding the interpretation or application of this Agreement, the Parties shall resolve them through consultations and negotiations.</w:t>
      </w:r>
    </w:p>
    <w:bookmarkEnd w:id="121"/>
    <w:bookmarkStart w:name="z129" w:id="122"/>
    <w:p>
      <w:pPr>
        <w:spacing w:after="0"/>
        <w:ind w:left="0"/>
        <w:jc w:val="both"/>
      </w:pPr>
      <w:r>
        <w:rPr>
          <w:rFonts w:ascii="Times New Roman"/>
          <w:b w:val="false"/>
          <w:i w:val="false"/>
          <w:color w:val="000000"/>
          <w:sz w:val="28"/>
        </w:rPr>
        <w:t>
      10.4. By mutual consent of the Parties, this Agreement may be amended and supplemented in the form of separate protocols that take effect in accordance with the procedure set forth in clause 10.1. of this article. These changes and additions shall be an integral part of this Agreement.</w:t>
      </w:r>
    </w:p>
    <w:bookmarkEnd w:id="122"/>
    <w:bookmarkStart w:name="z130" w:id="123"/>
    <w:p>
      <w:pPr>
        <w:spacing w:after="0"/>
        <w:ind w:left="0"/>
        <w:jc w:val="both"/>
      </w:pPr>
      <w:r>
        <w:rPr>
          <w:rFonts w:ascii="Times New Roman"/>
          <w:b w:val="false"/>
          <w:i w:val="false"/>
          <w:color w:val="000000"/>
          <w:sz w:val="28"/>
        </w:rPr>
        <w:t>
      10.5. Each of the Parties may withdraw from this Agreement at any time by giving written notice to the depositary. This Agreement shall terminate in relation to this Party upon the expiration of 6 months from the receipt date of such notification by the depositary.</w:t>
      </w:r>
    </w:p>
    <w:bookmarkEnd w:id="123"/>
    <w:bookmarkStart w:name="z131" w:id="124"/>
    <w:p>
      <w:pPr>
        <w:spacing w:after="0"/>
        <w:ind w:left="0"/>
        <w:jc w:val="both"/>
      </w:pPr>
      <w:r>
        <w:rPr>
          <w:rFonts w:ascii="Times New Roman"/>
          <w:b w:val="false"/>
          <w:i w:val="false"/>
          <w:color w:val="000000"/>
          <w:sz w:val="28"/>
        </w:rPr>
        <w:t>
      Concluded in the city of Bishkek on September 2, 2018 in one original copy in the Azerbaijani, Kazakh, Kyrgyz, Turkish and English languages, all texts being equally authentic. In case of discrepancy, the English version shall prevail.</w:t>
      </w:r>
    </w:p>
    <w:bookmarkEnd w:id="12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Azerbaijan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Kyrgyz Republic</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For the Government of the Republic of Turkey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