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ae17" w14:textId="08b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maintenance and use of the business partners register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3, 2021 No. 372. Abolished by the Decree of the Government of the Republic of Kazakhstan dated 08/17/2023 No. 697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08/17/2023 No. 697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Note of ILLI! </w:t>
      </w:r>
      <w:r>
        <w:br/>
      </w:r>
      <w:r>
        <w:rPr>
          <w:rFonts w:ascii="Times New Roman"/>
          <w:b w:val="false"/>
          <w:i w:val="false"/>
          <w:color w:val="000000"/>
          <w:sz w:val="28"/>
        </w:rPr>
        <w:t>
</w:t>
      </w:r>
      <w:r>
        <w:rPr>
          <w:rFonts w:ascii="Times New Roman"/>
          <w:b w:val="false"/>
          <w:i w:val="false"/>
          <w:color w:val="ff0000"/>
          <w:sz w:val="28"/>
        </w:rPr>
        <w:t>      Shall come into effect from 01.07.2021.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4 of Article 25-1 of the Entrepreneurial Code of the Republic of Kazakhstan dated October 29, 2015, the Government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1. To approve the attached Rules for the creation, maintenance and use of the business partners register.</w:t>
      </w:r>
    </w:p>
    <w:bookmarkEnd w:id="1"/>
    <w:bookmarkStart w:name="z3" w:id="2"/>
    <w:p>
      <w:pPr>
        <w:spacing w:after="0"/>
        <w:ind w:left="0"/>
        <w:jc w:val="both"/>
      </w:pPr>
      <w:r>
        <w:rPr>
          <w:rFonts w:ascii="Times New Roman"/>
          <w:b w:val="false"/>
          <w:i w:val="false"/>
          <w:color w:val="000000"/>
          <w:sz w:val="28"/>
        </w:rPr>
        <w:t>
      2. This Resolution shall come into effect on July 1, 2021, and is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 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3, 2021 No. 372</w:t>
            </w:r>
          </w:p>
        </w:tc>
      </w:tr>
    </w:tbl>
    <w:bookmarkStart w:name="z6" w:id="3"/>
    <w:p>
      <w:pPr>
        <w:spacing w:after="0"/>
        <w:ind w:left="0"/>
        <w:jc w:val="left"/>
      </w:pPr>
      <w:r>
        <w:rPr>
          <w:rFonts w:ascii="Times New Roman"/>
          <w:b/>
          <w:i w:val="false"/>
          <w:color w:val="000000"/>
        </w:rPr>
        <w:t xml:space="preserve"> The Rules for the creation, maintenance and use of the business partners register</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000000"/>
          <w:sz w:val="28"/>
        </w:rPr>
        <w:t>
      1. These Rules for the creation, maintenance and use of the business partners register (hereinafter referred to as the Rules) have been developed in accordance with paragraph 4 of Article 25-1 of the Entrepreneurial Code of the Republic of Kazakhstan, paragraph 2 of Article 7, subparagraph 3-3) of paragraph 1 of Article 11 of the Law of the Republic of Kazakhstan dated January 12, 2007 "On National registers of identification numbers", subparagraph 9-3) of Article 9 of the Law of the Republic of Kazakhstan dated May 21, 2013 "On personal data and their protection" (hereinafter referred to as the Law "On personal data and their protection") and shall determine the procedure for the creation, maintaining and using the business partners register.</w:t>
      </w:r>
    </w:p>
    <w:bookmarkEnd w:id="5"/>
    <w:bookmarkStart w:name="z9" w:id="6"/>
    <w:p>
      <w:pPr>
        <w:spacing w:after="0"/>
        <w:ind w:left="0"/>
        <w:jc w:val="both"/>
      </w:pPr>
      <w:r>
        <w:rPr>
          <w:rFonts w:ascii="Times New Roman"/>
          <w:b w:val="false"/>
          <w:i w:val="false"/>
          <w:color w:val="000000"/>
          <w:sz w:val="28"/>
        </w:rPr>
        <w:t>
      2. The following basic concepts shall be used in these Rules:</w:t>
      </w:r>
    </w:p>
    <w:bookmarkEnd w:id="6"/>
    <w:bookmarkStart w:name="z10" w:id="7"/>
    <w:p>
      <w:pPr>
        <w:spacing w:after="0"/>
        <w:ind w:left="0"/>
        <w:jc w:val="both"/>
      </w:pPr>
      <w:r>
        <w:rPr>
          <w:rFonts w:ascii="Times New Roman"/>
          <w:b w:val="false"/>
          <w:i w:val="false"/>
          <w:color w:val="000000"/>
          <w:sz w:val="28"/>
        </w:rPr>
        <w:t>
      1) preliminary index - a part of the scoring index, reflecting the good faith of a business entity, calculated using the information of one state body. The preliminary shall be is used to comply with information security and ensure the confidentiality of tax, customs secrets and personal data. The calculation of the preliminary index shall be carried out in the protected perimeter of the relevant state body;</w:t>
      </w:r>
    </w:p>
    <w:bookmarkEnd w:id="7"/>
    <w:bookmarkStart w:name="z11" w:id="8"/>
    <w:p>
      <w:pPr>
        <w:spacing w:after="0"/>
        <w:ind w:left="0"/>
        <w:jc w:val="both"/>
      </w:pPr>
      <w:r>
        <w:rPr>
          <w:rFonts w:ascii="Times New Roman"/>
          <w:b w:val="false"/>
          <w:i w:val="false"/>
          <w:color w:val="000000"/>
          <w:sz w:val="28"/>
        </w:rPr>
        <w:t>
      2) potential counterparty - a legal entity or an individual entrepreneur with whom the entrepreneur plans to conclude a deal;</w:t>
      </w:r>
    </w:p>
    <w:bookmarkEnd w:id="8"/>
    <w:bookmarkStart w:name="z12" w:id="9"/>
    <w:p>
      <w:pPr>
        <w:spacing w:after="0"/>
        <w:ind w:left="0"/>
        <w:jc w:val="both"/>
      </w:pPr>
      <w:r>
        <w:rPr>
          <w:rFonts w:ascii="Times New Roman"/>
          <w:b w:val="false"/>
          <w:i w:val="false"/>
          <w:color w:val="000000"/>
          <w:sz w:val="28"/>
        </w:rPr>
        <w:t>
      3) business partners register - an information system integrated with the objects of informatization of state bodies and organizations, containing information about business entities that do not constitute a secret protected by laws;</w:t>
      </w:r>
    </w:p>
    <w:bookmarkEnd w:id="9"/>
    <w:bookmarkStart w:name="z13" w:id="10"/>
    <w:p>
      <w:pPr>
        <w:spacing w:after="0"/>
        <w:ind w:left="0"/>
        <w:jc w:val="both"/>
      </w:pPr>
      <w:r>
        <w:rPr>
          <w:rFonts w:ascii="Times New Roman"/>
          <w:b w:val="false"/>
          <w:i w:val="false"/>
          <w:color w:val="000000"/>
          <w:sz w:val="28"/>
        </w:rPr>
        <w:t>
      4) business identification number (hereinafter referred to as BIN) - a unique number generated for a legal entity (branch and representative office) and an individual entrepreneur operating in the form of a joint venture;</w:t>
      </w:r>
    </w:p>
    <w:bookmarkEnd w:id="10"/>
    <w:bookmarkStart w:name="z14" w:id="11"/>
    <w:p>
      <w:pPr>
        <w:spacing w:after="0"/>
        <w:ind w:left="0"/>
        <w:jc w:val="both"/>
      </w:pPr>
      <w:r>
        <w:rPr>
          <w:rFonts w:ascii="Times New Roman"/>
          <w:b w:val="false"/>
          <w:i w:val="false"/>
          <w:color w:val="000000"/>
          <w:sz w:val="28"/>
        </w:rPr>
        <w:t>
      5) individual identification number (hereinafter referred to as IIN) - a unique number generated for an individual, including an individual entrepreneur, carrying out activities in the form of personal entrepreneurship;</w:t>
      </w:r>
    </w:p>
    <w:bookmarkEnd w:id="11"/>
    <w:bookmarkStart w:name="z15" w:id="12"/>
    <w:p>
      <w:pPr>
        <w:spacing w:after="0"/>
        <w:ind w:left="0"/>
        <w:jc w:val="both"/>
      </w:pPr>
      <w:r>
        <w:rPr>
          <w:rFonts w:ascii="Times New Roman"/>
          <w:b w:val="false"/>
          <w:i w:val="false"/>
          <w:color w:val="000000"/>
          <w:sz w:val="28"/>
        </w:rPr>
        <w:t>
      6) National Certification Authority of the Republic of Kazakhstan (hereinafter referred to as NCA) - a certification authority that shall provide electronic digital signature tools and registration certificates to individuals or legal entities for the generation of electronic documents in state and non-state information systems;</w:t>
      </w:r>
    </w:p>
    <w:bookmarkEnd w:id="12"/>
    <w:bookmarkStart w:name="z16" w:id="13"/>
    <w:p>
      <w:pPr>
        <w:spacing w:after="0"/>
        <w:ind w:left="0"/>
        <w:jc w:val="both"/>
      </w:pPr>
      <w:r>
        <w:rPr>
          <w:rFonts w:ascii="Times New Roman"/>
          <w:b w:val="false"/>
          <w:i w:val="false"/>
          <w:color w:val="000000"/>
          <w:sz w:val="28"/>
        </w:rPr>
        <w:t>
      7) Government intranet (hereinafter referred to as GI) - a telecommunications network that is part of the information and communication infrastructure of "electronic government" and is designed to ensure the interaction of local (except for local networks that have access to the Internet), departmental and corporate telecommunications networks state bodies, their subordinate organizations and local governments, as well as other informatization entities, determined by the authorized body, in compliance with the required level of information security;</w:t>
      </w:r>
    </w:p>
    <w:bookmarkEnd w:id="13"/>
    <w:bookmarkStart w:name="z17" w:id="14"/>
    <w:p>
      <w:pPr>
        <w:spacing w:after="0"/>
        <w:ind w:left="0"/>
        <w:jc w:val="both"/>
      </w:pPr>
      <w:r>
        <w:rPr>
          <w:rFonts w:ascii="Times New Roman"/>
          <w:b w:val="false"/>
          <w:i w:val="false"/>
          <w:color w:val="000000"/>
          <w:sz w:val="28"/>
        </w:rPr>
        <w:t>
      8) scoring indexes - a set of indexes used in the analysis of the integrity of a business entity and reflecting the risks associated with entering into business relations with a business entity. Scoring indexes shall be formed based on information from the business partners register;</w:t>
      </w:r>
    </w:p>
    <w:bookmarkEnd w:id="14"/>
    <w:bookmarkStart w:name="z18" w:id="15"/>
    <w:p>
      <w:pPr>
        <w:spacing w:after="0"/>
        <w:ind w:left="0"/>
        <w:jc w:val="both"/>
      </w:pPr>
      <w:r>
        <w:rPr>
          <w:rFonts w:ascii="Times New Roman"/>
          <w:b w:val="false"/>
          <w:i w:val="false"/>
          <w:color w:val="000000"/>
          <w:sz w:val="28"/>
        </w:rPr>
        <w:t>
      9) "electronic government" gateway (hereinafter referred to as e-Gov Gateway) - an information system designed to integrate objects of informatization of "electronic government" with other objects of informatization;</w:t>
      </w:r>
    </w:p>
    <w:bookmarkEnd w:id="15"/>
    <w:bookmarkStart w:name="z19" w:id="16"/>
    <w:p>
      <w:pPr>
        <w:spacing w:after="0"/>
        <w:ind w:left="0"/>
        <w:jc w:val="both"/>
      </w:pPr>
      <w:r>
        <w:rPr>
          <w:rFonts w:ascii="Times New Roman"/>
          <w:b w:val="false"/>
          <w:i w:val="false"/>
          <w:color w:val="000000"/>
          <w:sz w:val="28"/>
        </w:rPr>
        <w:t>
      10) electronic digital signature (hereinafter referred to as EDS) - a set of electronic digital symbols created utilizing an electronic digital signature and confirming the authenticity of an electronic document, its ownership and the invariance of the content.</w:t>
      </w:r>
    </w:p>
    <w:bookmarkEnd w:id="16"/>
    <w:bookmarkStart w:name="z20" w:id="17"/>
    <w:p>
      <w:pPr>
        <w:spacing w:after="0"/>
        <w:ind w:left="0"/>
        <w:jc w:val="both"/>
      </w:pPr>
      <w:r>
        <w:rPr>
          <w:rFonts w:ascii="Times New Roman"/>
          <w:b w:val="false"/>
          <w:i w:val="false"/>
          <w:color w:val="000000"/>
          <w:sz w:val="28"/>
        </w:rPr>
        <w:t>
      3. The business partners register shall be designed to provide entrepreneurs with the opportunity to independently assess the integrity of a potential counterparty.</w:t>
      </w:r>
    </w:p>
    <w:bookmarkEnd w:id="17"/>
    <w:bookmarkStart w:name="z21" w:id="18"/>
    <w:p>
      <w:pPr>
        <w:spacing w:after="0"/>
        <w:ind w:left="0"/>
        <w:jc w:val="both"/>
      </w:pPr>
      <w:r>
        <w:rPr>
          <w:rFonts w:ascii="Times New Roman"/>
          <w:b w:val="false"/>
          <w:i w:val="false"/>
          <w:color w:val="000000"/>
          <w:sz w:val="28"/>
        </w:rPr>
        <w:t>
      4. Users of the business partners register shall be individuals and legal entities.</w:t>
      </w:r>
    </w:p>
    <w:bookmarkEnd w:id="18"/>
    <w:bookmarkStart w:name="z22" w:id="19"/>
    <w:p>
      <w:pPr>
        <w:spacing w:after="0"/>
        <w:ind w:left="0"/>
        <w:jc w:val="both"/>
      </w:pPr>
      <w:r>
        <w:rPr>
          <w:rFonts w:ascii="Times New Roman"/>
          <w:b w:val="false"/>
          <w:i w:val="false"/>
          <w:color w:val="000000"/>
          <w:sz w:val="28"/>
        </w:rPr>
        <w:t>
      5. The assessment of the integrity of business entities shall be carried out by users independently based on information provided by the business partners register.</w:t>
      </w:r>
    </w:p>
    <w:bookmarkEnd w:id="19"/>
    <w:bookmarkStart w:name="z23" w:id="20"/>
    <w:p>
      <w:pPr>
        <w:spacing w:after="0"/>
        <w:ind w:left="0"/>
        <w:jc w:val="left"/>
      </w:pPr>
      <w:r>
        <w:rPr>
          <w:rFonts w:ascii="Times New Roman"/>
          <w:b/>
          <w:i w:val="false"/>
          <w:color w:val="000000"/>
        </w:rPr>
        <w:t xml:space="preserve"> Chapter 2. Procedure for the creation of the business partners register</w:t>
      </w:r>
    </w:p>
    <w:bookmarkEnd w:id="20"/>
    <w:bookmarkStart w:name="z24" w:id="21"/>
    <w:p>
      <w:pPr>
        <w:spacing w:after="0"/>
        <w:ind w:left="0"/>
        <w:jc w:val="both"/>
      </w:pPr>
      <w:r>
        <w:rPr>
          <w:rFonts w:ascii="Times New Roman"/>
          <w:b w:val="false"/>
          <w:i w:val="false"/>
          <w:color w:val="000000"/>
          <w:sz w:val="28"/>
        </w:rPr>
        <w:t>
      6. The business partners register shall be created by the National Chamber of Entrepreneurs of the Republic of Kazakhstan (hereinafter referred to as the NCE).</w:t>
      </w:r>
    </w:p>
    <w:bookmarkEnd w:id="21"/>
    <w:bookmarkStart w:name="z25" w:id="22"/>
    <w:p>
      <w:pPr>
        <w:spacing w:after="0"/>
        <w:ind w:left="0"/>
        <w:jc w:val="both"/>
      </w:pPr>
      <w:r>
        <w:rPr>
          <w:rFonts w:ascii="Times New Roman"/>
          <w:b w:val="false"/>
          <w:i w:val="false"/>
          <w:color w:val="000000"/>
          <w:sz w:val="28"/>
        </w:rPr>
        <w:t>
      7. The user of the business partners register shall receive the following information about the business entity:</w:t>
      </w:r>
    </w:p>
    <w:bookmarkEnd w:id="22"/>
    <w:bookmarkStart w:name="z26" w:id="23"/>
    <w:p>
      <w:pPr>
        <w:spacing w:after="0"/>
        <w:ind w:left="0"/>
        <w:jc w:val="both"/>
      </w:pPr>
      <w:r>
        <w:rPr>
          <w:rFonts w:ascii="Times New Roman"/>
          <w:b w:val="false"/>
          <w:i w:val="false"/>
          <w:color w:val="000000"/>
          <w:sz w:val="28"/>
        </w:rPr>
        <w:t>
      a report containing information about a business entity based on data from information systems of state bodies and open sources;</w:t>
      </w:r>
    </w:p>
    <w:bookmarkEnd w:id="23"/>
    <w:bookmarkStart w:name="z27" w:id="24"/>
    <w:p>
      <w:pPr>
        <w:spacing w:after="0"/>
        <w:ind w:left="0"/>
        <w:jc w:val="both"/>
      </w:pPr>
      <w:r>
        <w:rPr>
          <w:rFonts w:ascii="Times New Roman"/>
          <w:b w:val="false"/>
          <w:i w:val="false"/>
          <w:color w:val="000000"/>
          <w:sz w:val="28"/>
        </w:rPr>
        <w:t>
      information on the inclusion of a business entity in registers, lists, and lists formed by authorized state bodies according to their competence.</w:t>
      </w:r>
    </w:p>
    <w:bookmarkEnd w:id="24"/>
    <w:bookmarkStart w:name="z28" w:id="25"/>
    <w:p>
      <w:pPr>
        <w:spacing w:after="0"/>
        <w:ind w:left="0"/>
        <w:jc w:val="both"/>
      </w:pPr>
      <w:r>
        <w:rPr>
          <w:rFonts w:ascii="Times New Roman"/>
          <w:b w:val="false"/>
          <w:i w:val="false"/>
          <w:color w:val="000000"/>
          <w:sz w:val="28"/>
        </w:rPr>
        <w:t>
      8. Information exchange of the business partners registry system with the e-Gov Gateway shall be carried out utilizing electronic messages in the "request-response" mode using the EDS issued by the NCA.</w:t>
      </w:r>
    </w:p>
    <w:bookmarkEnd w:id="25"/>
    <w:bookmarkStart w:name="z29" w:id="26"/>
    <w:p>
      <w:pPr>
        <w:spacing w:after="0"/>
        <w:ind w:left="0"/>
        <w:jc w:val="both"/>
      </w:pPr>
      <w:r>
        <w:rPr>
          <w:rFonts w:ascii="Times New Roman"/>
          <w:b w:val="false"/>
          <w:i w:val="false"/>
          <w:color w:val="000000"/>
          <w:sz w:val="28"/>
        </w:rPr>
        <w:t>
      9. Information exchange participants (hereinafter referred to as Participants) shall provide access to interaction services around the clock, except for a technical failure and technological interruptions in the operation of information systems, which the participant who is planning a technological interruption in the operation of information systems shall inform other participants of at least 36 hours before work starts.</w:t>
      </w:r>
    </w:p>
    <w:bookmarkEnd w:id="26"/>
    <w:bookmarkStart w:name="z30" w:id="27"/>
    <w:p>
      <w:pPr>
        <w:spacing w:after="0"/>
        <w:ind w:left="0"/>
        <w:jc w:val="both"/>
      </w:pPr>
      <w:r>
        <w:rPr>
          <w:rFonts w:ascii="Times New Roman"/>
          <w:b w:val="false"/>
          <w:i w:val="false"/>
          <w:color w:val="000000"/>
          <w:sz w:val="28"/>
        </w:rPr>
        <w:t>
      The participants in the information exchange shall be state bodies - the owners of information systems and NCE - the owner of the information system of the business partners register.</w:t>
      </w:r>
    </w:p>
    <w:bookmarkEnd w:id="27"/>
    <w:bookmarkStart w:name="z31" w:id="28"/>
    <w:p>
      <w:pPr>
        <w:spacing w:after="0"/>
        <w:ind w:left="0"/>
        <w:jc w:val="both"/>
      </w:pPr>
      <w:r>
        <w:rPr>
          <w:rFonts w:ascii="Times New Roman"/>
          <w:b w:val="false"/>
          <w:i w:val="false"/>
          <w:color w:val="000000"/>
          <w:sz w:val="28"/>
        </w:rPr>
        <w:t>
      10. Protection of information during information exchange shall be ensured in accordance with subparagraph 9-3) of Article 9 of the Law of the Republic of Kazakhstan "On personal data and their protection", as well as the requirements of the Law of the Republic of Kazakhstan dated November 24, 2015 "On informatization".</w:t>
      </w:r>
    </w:p>
    <w:bookmarkEnd w:id="28"/>
    <w:bookmarkStart w:name="z32" w:id="29"/>
    <w:p>
      <w:pPr>
        <w:spacing w:after="0"/>
        <w:ind w:left="0"/>
        <w:jc w:val="both"/>
      </w:pPr>
      <w:r>
        <w:rPr>
          <w:rFonts w:ascii="Times New Roman"/>
          <w:b w:val="false"/>
          <w:i w:val="false"/>
          <w:color w:val="000000"/>
          <w:sz w:val="28"/>
        </w:rPr>
        <w:t>
      11. Users of the business partners register shall have access to scoring indexes assigned to business entities:</w:t>
      </w:r>
    </w:p>
    <w:bookmarkEnd w:id="29"/>
    <w:bookmarkStart w:name="z33" w:id="30"/>
    <w:p>
      <w:pPr>
        <w:spacing w:after="0"/>
        <w:ind w:left="0"/>
        <w:jc w:val="both"/>
      </w:pPr>
      <w:r>
        <w:rPr>
          <w:rFonts w:ascii="Times New Roman"/>
          <w:b w:val="false"/>
          <w:i w:val="false"/>
          <w:color w:val="000000"/>
          <w:sz w:val="28"/>
        </w:rPr>
        <w:t>
      the taxpayer's conscientiousness index is an indicator of the probability that a potential partner applies transactions (operations) for which actions to issue an invoice and (or) other documents may be recognized by a court or by a decision of a criminal prosecution body to terminate a pre-trial investigation on non- rehabilitating grounds as committed without actually performing work, provision of services, shipment of goods;</w:t>
      </w:r>
    </w:p>
    <w:bookmarkEnd w:id="30"/>
    <w:bookmarkStart w:name="z34" w:id="31"/>
    <w:p>
      <w:pPr>
        <w:spacing w:after="0"/>
        <w:ind w:left="0"/>
        <w:jc w:val="both"/>
      </w:pPr>
      <w:r>
        <w:rPr>
          <w:rFonts w:ascii="Times New Roman"/>
          <w:b w:val="false"/>
          <w:i w:val="false"/>
          <w:color w:val="000000"/>
          <w:sz w:val="28"/>
        </w:rPr>
        <w:t>
      financial stability index - an indicator of the probability that the counterparty will not be able to fulfil its obligations due to existing financial problems;</w:t>
      </w:r>
    </w:p>
    <w:bookmarkEnd w:id="31"/>
    <w:bookmarkStart w:name="z35" w:id="32"/>
    <w:p>
      <w:pPr>
        <w:spacing w:after="0"/>
        <w:ind w:left="0"/>
        <w:jc w:val="both"/>
      </w:pPr>
      <w:r>
        <w:rPr>
          <w:rFonts w:ascii="Times New Roman"/>
          <w:b w:val="false"/>
          <w:i w:val="false"/>
          <w:color w:val="000000"/>
          <w:sz w:val="28"/>
        </w:rPr>
        <w:t>
      payment discipline index - an indicator of the probability that an entrepreneur may have problems receiving payment from a counterparty;</w:t>
      </w:r>
    </w:p>
    <w:bookmarkEnd w:id="32"/>
    <w:bookmarkStart w:name="z36" w:id="33"/>
    <w:p>
      <w:pPr>
        <w:spacing w:after="0"/>
        <w:ind w:left="0"/>
        <w:jc w:val="both"/>
      </w:pPr>
      <w:r>
        <w:rPr>
          <w:rFonts w:ascii="Times New Roman"/>
          <w:b w:val="false"/>
          <w:i w:val="false"/>
          <w:color w:val="000000"/>
          <w:sz w:val="28"/>
        </w:rPr>
        <w:t>
      The business reputation index is a summary indicator that combines the totality of all factors.</w:t>
      </w:r>
    </w:p>
    <w:bookmarkEnd w:id="33"/>
    <w:bookmarkStart w:name="z37" w:id="34"/>
    <w:p>
      <w:pPr>
        <w:spacing w:after="0"/>
        <w:ind w:left="0"/>
        <w:jc w:val="both"/>
      </w:pPr>
      <w:r>
        <w:rPr>
          <w:rFonts w:ascii="Times New Roman"/>
          <w:b w:val="false"/>
          <w:i w:val="false"/>
          <w:color w:val="000000"/>
          <w:sz w:val="28"/>
        </w:rPr>
        <w:t>
      12. The business partners register shall include a service for calculating scoring indexes.</w:t>
      </w:r>
    </w:p>
    <w:bookmarkEnd w:id="34"/>
    <w:bookmarkStart w:name="z38" w:id="35"/>
    <w:p>
      <w:pPr>
        <w:spacing w:after="0"/>
        <w:ind w:left="0"/>
        <w:jc w:val="both"/>
      </w:pPr>
      <w:r>
        <w:rPr>
          <w:rFonts w:ascii="Times New Roman"/>
          <w:b w:val="false"/>
          <w:i w:val="false"/>
          <w:color w:val="000000"/>
          <w:sz w:val="28"/>
        </w:rPr>
        <w:t>
      13. Scoring indexes of the business partners register shall be calculated at the request of the user based on information received from government agencies, and open sources of information.</w:t>
      </w:r>
    </w:p>
    <w:bookmarkEnd w:id="35"/>
    <w:bookmarkStart w:name="z39" w:id="36"/>
    <w:p>
      <w:pPr>
        <w:spacing w:after="0"/>
        <w:ind w:left="0"/>
        <w:jc w:val="both"/>
      </w:pPr>
      <w:r>
        <w:rPr>
          <w:rFonts w:ascii="Times New Roman"/>
          <w:b w:val="false"/>
          <w:i w:val="false"/>
          <w:color w:val="000000"/>
          <w:sz w:val="28"/>
        </w:rPr>
        <w:t>
      14. When calculating scoring indexes using information constituting tax, customs secrets and personal data, preliminary indexes shall be applied.</w:t>
      </w:r>
    </w:p>
    <w:bookmarkEnd w:id="36"/>
    <w:bookmarkStart w:name="z40" w:id="37"/>
    <w:p>
      <w:pPr>
        <w:spacing w:after="0"/>
        <w:ind w:left="0"/>
        <w:jc w:val="both"/>
      </w:pPr>
      <w:r>
        <w:rPr>
          <w:rFonts w:ascii="Times New Roman"/>
          <w:b w:val="false"/>
          <w:i w:val="false"/>
          <w:color w:val="000000"/>
          <w:sz w:val="28"/>
        </w:rPr>
        <w:t>
      15. The calculation of preliminary indexes shall be carried out by the state body that is the owner of the information that is a tax, customs secret and personal data.</w:t>
      </w:r>
    </w:p>
    <w:bookmarkEnd w:id="37"/>
    <w:bookmarkStart w:name="z41" w:id="38"/>
    <w:p>
      <w:pPr>
        <w:spacing w:after="0"/>
        <w:ind w:left="0"/>
        <w:jc w:val="both"/>
      </w:pPr>
      <w:r>
        <w:rPr>
          <w:rFonts w:ascii="Times New Roman"/>
          <w:b w:val="false"/>
          <w:i w:val="false"/>
          <w:color w:val="000000"/>
          <w:sz w:val="28"/>
        </w:rPr>
        <w:t>
      16. Preliminary indexes shall represent the assignment to a business entity of a risk value in numerical terms or a numerical risk value with the assignment to a certain risk category (high, medium, low).</w:t>
      </w:r>
    </w:p>
    <w:bookmarkEnd w:id="38"/>
    <w:bookmarkStart w:name="z42" w:id="39"/>
    <w:p>
      <w:pPr>
        <w:spacing w:after="0"/>
        <w:ind w:left="0"/>
        <w:jc w:val="both"/>
      </w:pPr>
      <w:r>
        <w:rPr>
          <w:rFonts w:ascii="Times New Roman"/>
          <w:b w:val="false"/>
          <w:i w:val="false"/>
          <w:color w:val="000000"/>
          <w:sz w:val="28"/>
        </w:rPr>
        <w:t>
      17. The calculated preliminary indexes shall be transferred to the business partner registry service for calculating scoring indexes.</w:t>
      </w:r>
    </w:p>
    <w:bookmarkEnd w:id="39"/>
    <w:bookmarkStart w:name="z43" w:id="40"/>
    <w:p>
      <w:pPr>
        <w:spacing w:after="0"/>
        <w:ind w:left="0"/>
        <w:jc w:val="both"/>
      </w:pPr>
      <w:r>
        <w:rPr>
          <w:rFonts w:ascii="Times New Roman"/>
          <w:b w:val="false"/>
          <w:i w:val="false"/>
          <w:color w:val="000000"/>
          <w:sz w:val="28"/>
        </w:rPr>
        <w:t>
      18. The final calculation of scoring indexes in accordance with paragraph 11 of these Rules shall be carried out by the business partner registry service for calculating scoring indexes based on information received from government agencies, open sources of information, and other data sources, as well as the obtained values of preliminary indexes.</w:t>
      </w:r>
    </w:p>
    <w:bookmarkEnd w:id="40"/>
    <w:bookmarkStart w:name="z44" w:id="41"/>
    <w:p>
      <w:pPr>
        <w:spacing w:after="0"/>
        <w:ind w:left="0"/>
        <w:jc w:val="both"/>
      </w:pPr>
      <w:r>
        <w:rPr>
          <w:rFonts w:ascii="Times New Roman"/>
          <w:b w:val="false"/>
          <w:i w:val="false"/>
          <w:color w:val="000000"/>
          <w:sz w:val="28"/>
        </w:rPr>
        <w:t>
      19. The calculation of preliminary indexes shall be carried out by the state body that is the owner of tax, customs secrets and personal data, based on the calculation algorithm provided by the NCE.</w:t>
      </w:r>
    </w:p>
    <w:bookmarkEnd w:id="41"/>
    <w:bookmarkStart w:name="z45" w:id="42"/>
    <w:p>
      <w:pPr>
        <w:spacing w:after="0"/>
        <w:ind w:left="0"/>
        <w:jc w:val="both"/>
      </w:pPr>
      <w:r>
        <w:rPr>
          <w:rFonts w:ascii="Times New Roman"/>
          <w:b w:val="false"/>
          <w:i w:val="false"/>
          <w:color w:val="000000"/>
          <w:sz w:val="28"/>
        </w:rPr>
        <w:t>
      20. The algorithm for calculating scoring indexes and preliminary indexes shall be developed by the NCE based on the analysis and modelling of a test sample of depersonalized test data on business entities provided by government agencies.</w:t>
      </w:r>
    </w:p>
    <w:bookmarkEnd w:id="42"/>
    <w:bookmarkStart w:name="z46" w:id="43"/>
    <w:p>
      <w:pPr>
        <w:spacing w:after="0"/>
        <w:ind w:left="0"/>
        <w:jc w:val="both"/>
      </w:pPr>
      <w:r>
        <w:rPr>
          <w:rFonts w:ascii="Times New Roman"/>
          <w:b w:val="false"/>
          <w:i w:val="false"/>
          <w:color w:val="000000"/>
          <w:sz w:val="28"/>
        </w:rPr>
        <w:t>
      21. To ensure the preservation of tax, customs secrets and personal data when developing an algorithm for calculating scoring indexes and preliminary indexes:</w:t>
      </w:r>
    </w:p>
    <w:bookmarkEnd w:id="43"/>
    <w:bookmarkStart w:name="z47" w:id="44"/>
    <w:p>
      <w:pPr>
        <w:spacing w:after="0"/>
        <w:ind w:left="0"/>
        <w:jc w:val="both"/>
      </w:pPr>
      <w:r>
        <w:rPr>
          <w:rFonts w:ascii="Times New Roman"/>
          <w:b w:val="false"/>
          <w:i w:val="false"/>
          <w:color w:val="000000"/>
          <w:sz w:val="28"/>
        </w:rPr>
        <w:t>
      The NCE shall provide state authorities with the requirements for a sample of business entities for the formation of depersonalized test data;</w:t>
      </w:r>
    </w:p>
    <w:bookmarkEnd w:id="44"/>
    <w:bookmarkStart w:name="z48" w:id="45"/>
    <w:p>
      <w:pPr>
        <w:spacing w:after="0"/>
        <w:ind w:left="0"/>
        <w:jc w:val="both"/>
      </w:pPr>
      <w:r>
        <w:rPr>
          <w:rFonts w:ascii="Times New Roman"/>
          <w:b w:val="false"/>
          <w:i w:val="false"/>
          <w:color w:val="000000"/>
          <w:sz w:val="28"/>
        </w:rPr>
        <w:t>
      state bodies shall provide a selection of depersonalized data on business entities based on the provided requirements for test data;</w:t>
      </w:r>
    </w:p>
    <w:bookmarkEnd w:id="45"/>
    <w:bookmarkStart w:name="z49" w:id="46"/>
    <w:p>
      <w:pPr>
        <w:spacing w:after="0"/>
        <w:ind w:left="0"/>
        <w:jc w:val="both"/>
      </w:pPr>
      <w:r>
        <w:rPr>
          <w:rFonts w:ascii="Times New Roman"/>
          <w:b w:val="false"/>
          <w:i w:val="false"/>
          <w:color w:val="000000"/>
          <w:sz w:val="28"/>
        </w:rPr>
        <w:t>
      to form a sample of anonymized test data on business entities, the state body that manages the provision of taxes and payments to the budget shall form a randomly generated list of entrepreneurs and assign them an identification number;</w:t>
      </w:r>
    </w:p>
    <w:bookmarkEnd w:id="46"/>
    <w:bookmarkStart w:name="z50" w:id="47"/>
    <w:p>
      <w:pPr>
        <w:spacing w:after="0"/>
        <w:ind w:left="0"/>
        <w:jc w:val="both"/>
      </w:pPr>
      <w:r>
        <w:rPr>
          <w:rFonts w:ascii="Times New Roman"/>
          <w:b w:val="false"/>
          <w:i w:val="false"/>
          <w:color w:val="000000"/>
          <w:sz w:val="28"/>
        </w:rPr>
        <w:t>
      state bodies shall provide depersonalized data on entrepreneurs according to the list of entrepreneurs formed by the state body in charge of ensuring tax revenues and payments to the budget;</w:t>
      </w:r>
    </w:p>
    <w:bookmarkEnd w:id="47"/>
    <w:bookmarkStart w:name="z51" w:id="48"/>
    <w:p>
      <w:pPr>
        <w:spacing w:after="0"/>
        <w:ind w:left="0"/>
        <w:jc w:val="both"/>
      </w:pPr>
      <w:r>
        <w:rPr>
          <w:rFonts w:ascii="Times New Roman"/>
          <w:b w:val="false"/>
          <w:i w:val="false"/>
          <w:color w:val="000000"/>
          <w:sz w:val="28"/>
        </w:rPr>
        <w:t>
      Based on the received impersonal data on entrepreneurs, the NCE shall develop an algorithm for calculating scoring and preliminary indexes for each state body.</w:t>
      </w:r>
    </w:p>
    <w:bookmarkEnd w:id="48"/>
    <w:bookmarkStart w:name="z52" w:id="49"/>
    <w:p>
      <w:pPr>
        <w:spacing w:after="0"/>
        <w:ind w:left="0"/>
        <w:jc w:val="left"/>
      </w:pPr>
      <w:r>
        <w:rPr>
          <w:rFonts w:ascii="Times New Roman"/>
          <w:b/>
          <w:i w:val="false"/>
          <w:color w:val="000000"/>
        </w:rPr>
        <w:t xml:space="preserve"> Chapter 3. Procedure for maintaining the business partners register</w:t>
      </w:r>
    </w:p>
    <w:bookmarkEnd w:id="49"/>
    <w:bookmarkStart w:name="z53" w:id="50"/>
    <w:p>
      <w:pPr>
        <w:spacing w:after="0"/>
        <w:ind w:left="0"/>
        <w:jc w:val="both"/>
      </w:pPr>
      <w:r>
        <w:rPr>
          <w:rFonts w:ascii="Times New Roman"/>
          <w:b w:val="false"/>
          <w:i w:val="false"/>
          <w:color w:val="000000"/>
          <w:sz w:val="28"/>
        </w:rPr>
        <w:t>
      22. The business partners register shall be maintained by the NCE in accordance with the Law of the Republic of Kazakhstan dated July 4, 2013 "On the National Chamber of Entrepreneurs of the Republic of Kazakhstan".</w:t>
      </w:r>
    </w:p>
    <w:bookmarkEnd w:id="50"/>
    <w:bookmarkStart w:name="z54" w:id="51"/>
    <w:p>
      <w:pPr>
        <w:spacing w:after="0"/>
        <w:ind w:left="0"/>
        <w:jc w:val="both"/>
      </w:pPr>
      <w:r>
        <w:rPr>
          <w:rFonts w:ascii="Times New Roman"/>
          <w:b w:val="false"/>
          <w:i w:val="false"/>
          <w:color w:val="000000"/>
          <w:sz w:val="28"/>
        </w:rPr>
        <w:t>
      23. The business partners register shall provide users with information about business entities.</w:t>
      </w:r>
    </w:p>
    <w:bookmarkEnd w:id="51"/>
    <w:bookmarkStart w:name="z55" w:id="52"/>
    <w:p>
      <w:pPr>
        <w:spacing w:after="0"/>
        <w:ind w:left="0"/>
        <w:jc w:val="both"/>
      </w:pPr>
      <w:r>
        <w:rPr>
          <w:rFonts w:ascii="Times New Roman"/>
          <w:b w:val="false"/>
          <w:i w:val="false"/>
          <w:color w:val="000000"/>
          <w:sz w:val="28"/>
        </w:rPr>
        <w:t>
      24. Information about business entities shall be formed through information interaction with government agencies and other data owners:</w:t>
      </w:r>
    </w:p>
    <w:bookmarkEnd w:id="52"/>
    <w:bookmarkStart w:name="z56" w:id="53"/>
    <w:p>
      <w:pPr>
        <w:spacing w:after="0"/>
        <w:ind w:left="0"/>
        <w:jc w:val="both"/>
      </w:pPr>
      <w:r>
        <w:rPr>
          <w:rFonts w:ascii="Times New Roman"/>
          <w:b w:val="false"/>
          <w:i w:val="false"/>
          <w:color w:val="000000"/>
          <w:sz w:val="28"/>
        </w:rPr>
        <w:t>
      1) the state body exercising management in the field of ensuring the receipt of taxes and payments to the budget, shall provide the following information on registered business entities for the last three years:</w:t>
      </w:r>
    </w:p>
    <w:bookmarkEnd w:id="53"/>
    <w:bookmarkStart w:name="z57" w:id="54"/>
    <w:p>
      <w:pPr>
        <w:spacing w:after="0"/>
        <w:ind w:left="0"/>
        <w:jc w:val="both"/>
      </w:pPr>
      <w:r>
        <w:rPr>
          <w:rFonts w:ascii="Times New Roman"/>
          <w:b w:val="false"/>
          <w:i w:val="false"/>
          <w:color w:val="000000"/>
          <w:sz w:val="28"/>
        </w:rPr>
        <w:t>
      BIN/IIN;</w:t>
      </w:r>
    </w:p>
    <w:bookmarkEnd w:id="54"/>
    <w:bookmarkStart w:name="z58" w:id="55"/>
    <w:p>
      <w:pPr>
        <w:spacing w:after="0"/>
        <w:ind w:left="0"/>
        <w:jc w:val="both"/>
      </w:pPr>
      <w:r>
        <w:rPr>
          <w:rFonts w:ascii="Times New Roman"/>
          <w:b w:val="false"/>
          <w:i w:val="false"/>
          <w:color w:val="000000"/>
          <w:sz w:val="28"/>
        </w:rPr>
        <w:t>
      date of registration (state registration);</w:t>
      </w:r>
    </w:p>
    <w:bookmarkEnd w:id="55"/>
    <w:bookmarkStart w:name="z59" w:id="56"/>
    <w:p>
      <w:pPr>
        <w:spacing w:after="0"/>
        <w:ind w:left="0"/>
        <w:jc w:val="both"/>
      </w:pPr>
      <w:r>
        <w:rPr>
          <w:rFonts w:ascii="Times New Roman"/>
          <w:b w:val="false"/>
          <w:i w:val="false"/>
          <w:color w:val="000000"/>
          <w:sz w:val="28"/>
        </w:rPr>
        <w:t>
      date of deregistration;</w:t>
      </w:r>
    </w:p>
    <w:bookmarkEnd w:id="56"/>
    <w:bookmarkStart w:name="z60" w:id="57"/>
    <w:p>
      <w:pPr>
        <w:spacing w:after="0"/>
        <w:ind w:left="0"/>
        <w:jc w:val="both"/>
      </w:pPr>
      <w:r>
        <w:rPr>
          <w:rFonts w:ascii="Times New Roman"/>
          <w:b w:val="false"/>
          <w:i w:val="false"/>
          <w:color w:val="000000"/>
          <w:sz w:val="28"/>
        </w:rPr>
        <w:t>
      reason for deregistration;</w:t>
      </w:r>
    </w:p>
    <w:bookmarkEnd w:id="57"/>
    <w:bookmarkStart w:name="z61" w:id="58"/>
    <w:p>
      <w:pPr>
        <w:spacing w:after="0"/>
        <w:ind w:left="0"/>
        <w:jc w:val="both"/>
      </w:pPr>
      <w:r>
        <w:rPr>
          <w:rFonts w:ascii="Times New Roman"/>
          <w:b w:val="false"/>
          <w:i w:val="false"/>
          <w:color w:val="000000"/>
          <w:sz w:val="28"/>
        </w:rPr>
        <w:t>
      date of commencement and termination of the suspension of activities;</w:t>
      </w:r>
    </w:p>
    <w:bookmarkEnd w:id="58"/>
    <w:bookmarkStart w:name="z62" w:id="59"/>
    <w:p>
      <w:pPr>
        <w:spacing w:after="0"/>
        <w:ind w:left="0"/>
        <w:jc w:val="both"/>
      </w:pPr>
      <w:r>
        <w:rPr>
          <w:rFonts w:ascii="Times New Roman"/>
          <w:b w:val="false"/>
          <w:i w:val="false"/>
          <w:color w:val="000000"/>
          <w:sz w:val="28"/>
        </w:rPr>
        <w:t>
      residence of the taxpayer;</w:t>
      </w:r>
    </w:p>
    <w:bookmarkEnd w:id="59"/>
    <w:bookmarkStart w:name="z63" w:id="60"/>
    <w:p>
      <w:pPr>
        <w:spacing w:after="0"/>
        <w:ind w:left="0"/>
        <w:jc w:val="both"/>
      </w:pPr>
      <w:r>
        <w:rPr>
          <w:rFonts w:ascii="Times New Roman"/>
          <w:b w:val="false"/>
          <w:i w:val="false"/>
          <w:color w:val="000000"/>
          <w:sz w:val="28"/>
        </w:rPr>
        <w:t>
      tax authority - the place of registration of the taxpayer;</w:t>
      </w:r>
    </w:p>
    <w:bookmarkEnd w:id="60"/>
    <w:bookmarkStart w:name="z64" w:id="61"/>
    <w:p>
      <w:pPr>
        <w:spacing w:after="0"/>
        <w:ind w:left="0"/>
        <w:jc w:val="both"/>
      </w:pPr>
      <w:r>
        <w:rPr>
          <w:rFonts w:ascii="Times New Roman"/>
          <w:b w:val="false"/>
          <w:i w:val="false"/>
          <w:color w:val="000000"/>
          <w:sz w:val="28"/>
        </w:rPr>
        <w:t>
      applicable tax regime;</w:t>
      </w:r>
    </w:p>
    <w:bookmarkEnd w:id="61"/>
    <w:bookmarkStart w:name="z65" w:id="62"/>
    <w:p>
      <w:pPr>
        <w:spacing w:after="0"/>
        <w:ind w:left="0"/>
        <w:jc w:val="both"/>
      </w:pPr>
      <w:r>
        <w:rPr>
          <w:rFonts w:ascii="Times New Roman"/>
          <w:b w:val="false"/>
          <w:i w:val="false"/>
          <w:color w:val="000000"/>
          <w:sz w:val="28"/>
        </w:rPr>
        <w:t>
      data on the semi-annual schedule of tax audits carried out especially based on a risk assessment;</w:t>
      </w:r>
    </w:p>
    <w:bookmarkEnd w:id="62"/>
    <w:bookmarkStart w:name="z66" w:id="63"/>
    <w:p>
      <w:pPr>
        <w:spacing w:after="0"/>
        <w:ind w:left="0"/>
        <w:jc w:val="both"/>
      </w:pPr>
      <w:r>
        <w:rPr>
          <w:rFonts w:ascii="Times New Roman"/>
          <w:b w:val="false"/>
          <w:i w:val="false"/>
          <w:color w:val="000000"/>
          <w:sz w:val="28"/>
        </w:rPr>
        <w:t>
      data on non-submission of tax reporting by the taxpayer (tax agent);</w:t>
      </w:r>
    </w:p>
    <w:bookmarkEnd w:id="63"/>
    <w:bookmarkStart w:name="z67" w:id="64"/>
    <w:p>
      <w:pPr>
        <w:spacing w:after="0"/>
        <w:ind w:left="0"/>
        <w:jc w:val="both"/>
      </w:pPr>
      <w:r>
        <w:rPr>
          <w:rFonts w:ascii="Times New Roman"/>
          <w:b w:val="false"/>
          <w:i w:val="false"/>
          <w:color w:val="000000"/>
          <w:sz w:val="28"/>
        </w:rPr>
        <w:t>
      data on rehabilitation and bankruptcy, which are not confidential information in accordance with the legislation of the Republic of Kazakhstan on rehabilitation and bankruptcy;</w:t>
      </w:r>
    </w:p>
    <w:bookmarkEnd w:id="64"/>
    <w:bookmarkStart w:name="z68" w:id="65"/>
    <w:p>
      <w:pPr>
        <w:spacing w:after="0"/>
        <w:ind w:left="0"/>
        <w:jc w:val="both"/>
      </w:pPr>
      <w:r>
        <w:rPr>
          <w:rFonts w:ascii="Times New Roman"/>
          <w:b w:val="false"/>
          <w:i w:val="false"/>
          <w:color w:val="000000"/>
          <w:sz w:val="28"/>
        </w:rPr>
        <w:t>
      data on the tax burden coefficient of the taxpayer (tax agent), calculated in the manner determined by the authorized body, except for individuals not registered with the tax authorities as individual entrepreneurs and not engaged in private practice;</w:t>
      </w:r>
    </w:p>
    <w:bookmarkEnd w:id="65"/>
    <w:bookmarkStart w:name="z69" w:id="66"/>
    <w:p>
      <w:pPr>
        <w:spacing w:after="0"/>
        <w:ind w:left="0"/>
        <w:jc w:val="both"/>
      </w:pPr>
      <w:r>
        <w:rPr>
          <w:rFonts w:ascii="Times New Roman"/>
          <w:b w:val="false"/>
          <w:i w:val="false"/>
          <w:color w:val="000000"/>
          <w:sz w:val="28"/>
        </w:rPr>
        <w:t>
      data on the results of categorizing taxpayers depending on the degree of risk;</w:t>
      </w:r>
    </w:p>
    <w:bookmarkEnd w:id="66"/>
    <w:bookmarkStart w:name="z70" w:id="67"/>
    <w:p>
      <w:pPr>
        <w:spacing w:after="0"/>
        <w:ind w:left="0"/>
        <w:jc w:val="both"/>
      </w:pPr>
      <w:r>
        <w:rPr>
          <w:rFonts w:ascii="Times New Roman"/>
          <w:b w:val="false"/>
          <w:i w:val="false"/>
          <w:color w:val="000000"/>
          <w:sz w:val="28"/>
        </w:rPr>
        <w:t>
      the amount of taxes and payments to the budget paid (transferred) by a taxpayer (tax agent), except for individuals;</w:t>
      </w:r>
    </w:p>
    <w:bookmarkEnd w:id="67"/>
    <w:bookmarkStart w:name="z71" w:id="68"/>
    <w:p>
      <w:pPr>
        <w:spacing w:after="0"/>
        <w:ind w:left="0"/>
        <w:jc w:val="both"/>
      </w:pPr>
      <w:r>
        <w:rPr>
          <w:rFonts w:ascii="Times New Roman"/>
          <w:b w:val="false"/>
          <w:i w:val="false"/>
          <w:color w:val="000000"/>
          <w:sz w:val="28"/>
        </w:rPr>
        <w:t>
      the amount of the tax debt of the taxpayer (tax agent);</w:t>
      </w:r>
    </w:p>
    <w:bookmarkEnd w:id="68"/>
    <w:bookmarkStart w:name="z72" w:id="69"/>
    <w:p>
      <w:pPr>
        <w:spacing w:after="0"/>
        <w:ind w:left="0"/>
        <w:jc w:val="both"/>
      </w:pPr>
      <w:r>
        <w:rPr>
          <w:rFonts w:ascii="Times New Roman"/>
          <w:b w:val="false"/>
          <w:i w:val="false"/>
          <w:color w:val="000000"/>
          <w:sz w:val="28"/>
        </w:rPr>
        <w:t>
      data on the submission by the taxpayer of a tax application for a tax audit in connection with liquidation (termination of activities);</w:t>
      </w:r>
    </w:p>
    <w:bookmarkEnd w:id="69"/>
    <w:bookmarkStart w:name="z73" w:id="70"/>
    <w:p>
      <w:pPr>
        <w:spacing w:after="0"/>
        <w:ind w:left="0"/>
        <w:jc w:val="both"/>
      </w:pPr>
      <w:r>
        <w:rPr>
          <w:rFonts w:ascii="Times New Roman"/>
          <w:b w:val="false"/>
          <w:i w:val="false"/>
          <w:color w:val="000000"/>
          <w:sz w:val="28"/>
        </w:rPr>
        <w:t>
      data on the measures of responsibility applied concerning the taxpayer (tax agent) who violated the tax legislation of the Republic of Kazakhstan;</w:t>
      </w:r>
    </w:p>
    <w:bookmarkEnd w:id="70"/>
    <w:bookmarkStart w:name="z74" w:id="71"/>
    <w:p>
      <w:pPr>
        <w:spacing w:after="0"/>
        <w:ind w:left="0"/>
        <w:jc w:val="both"/>
      </w:pPr>
      <w:r>
        <w:rPr>
          <w:rFonts w:ascii="Times New Roman"/>
          <w:b w:val="false"/>
          <w:i w:val="false"/>
          <w:color w:val="000000"/>
          <w:sz w:val="28"/>
        </w:rPr>
        <w:t>
      data (BIN/IIN of a business entity) on the presence (absence) of registration as a taxpayer of a non-resident operating through a permanent establishment, structural unit or without establishing a permanent establishment in accordance with Article 650 of the Code of the Republic of Kazakhstan “On taxes and other obligatory payments to the budget (Tax Code)" (hereinafter referred to as the Tax Code).</w:t>
      </w:r>
    </w:p>
    <w:bookmarkEnd w:id="71"/>
    <w:bookmarkStart w:name="z75" w:id="72"/>
    <w:p>
      <w:pPr>
        <w:spacing w:after="0"/>
        <w:ind w:left="0"/>
        <w:jc w:val="both"/>
      </w:pPr>
      <w:r>
        <w:rPr>
          <w:rFonts w:ascii="Times New Roman"/>
          <w:b w:val="false"/>
          <w:i w:val="false"/>
          <w:color w:val="000000"/>
          <w:sz w:val="28"/>
        </w:rPr>
        <w:t>
      When calculating preliminary indexes in accordance with paragraphs 14, 15, 16, 17, 18, 19, 20 and 21 of these Rules, the state body in charge of ensuring tax revenues and payments to the budget shall use the following information on registered business entities for the last three of the year:</w:t>
      </w:r>
    </w:p>
    <w:bookmarkEnd w:id="72"/>
    <w:bookmarkStart w:name="z76" w:id="73"/>
    <w:p>
      <w:pPr>
        <w:spacing w:after="0"/>
        <w:ind w:left="0"/>
        <w:jc w:val="both"/>
      </w:pPr>
      <w:r>
        <w:rPr>
          <w:rFonts w:ascii="Times New Roman"/>
          <w:b w:val="false"/>
          <w:i w:val="false"/>
          <w:color w:val="000000"/>
          <w:sz w:val="28"/>
        </w:rPr>
        <w:t>
      authorized capital;</w:t>
      </w:r>
    </w:p>
    <w:bookmarkEnd w:id="73"/>
    <w:bookmarkStart w:name="z77" w:id="74"/>
    <w:p>
      <w:pPr>
        <w:spacing w:after="0"/>
        <w:ind w:left="0"/>
        <w:jc w:val="both"/>
      </w:pPr>
      <w:r>
        <w:rPr>
          <w:rFonts w:ascii="Times New Roman"/>
          <w:b w:val="false"/>
          <w:i w:val="false"/>
          <w:color w:val="000000"/>
          <w:sz w:val="28"/>
        </w:rPr>
        <w:t>
      total capital;</w:t>
      </w:r>
    </w:p>
    <w:bookmarkEnd w:id="74"/>
    <w:bookmarkStart w:name="z78" w:id="75"/>
    <w:p>
      <w:pPr>
        <w:spacing w:after="0"/>
        <w:ind w:left="0"/>
        <w:jc w:val="both"/>
      </w:pPr>
      <w:r>
        <w:rPr>
          <w:rFonts w:ascii="Times New Roman"/>
          <w:b w:val="false"/>
          <w:i w:val="false"/>
          <w:color w:val="000000"/>
          <w:sz w:val="28"/>
        </w:rPr>
        <w:t>
      total assets;</w:t>
      </w:r>
    </w:p>
    <w:bookmarkEnd w:id="75"/>
    <w:bookmarkStart w:name="z79" w:id="76"/>
    <w:p>
      <w:pPr>
        <w:spacing w:after="0"/>
        <w:ind w:left="0"/>
        <w:jc w:val="both"/>
      </w:pPr>
      <w:r>
        <w:rPr>
          <w:rFonts w:ascii="Times New Roman"/>
          <w:b w:val="false"/>
          <w:i w:val="false"/>
          <w:color w:val="000000"/>
          <w:sz w:val="28"/>
        </w:rPr>
        <w:t>
      total liabilities;</w:t>
      </w:r>
    </w:p>
    <w:bookmarkEnd w:id="76"/>
    <w:bookmarkStart w:name="z80" w:id="77"/>
    <w:p>
      <w:pPr>
        <w:spacing w:after="0"/>
        <w:ind w:left="0"/>
        <w:jc w:val="both"/>
      </w:pPr>
      <w:r>
        <w:rPr>
          <w:rFonts w:ascii="Times New Roman"/>
          <w:b w:val="false"/>
          <w:i w:val="false"/>
          <w:color w:val="000000"/>
          <w:sz w:val="28"/>
        </w:rPr>
        <w:t>
      fixed assets;</w:t>
      </w:r>
    </w:p>
    <w:bookmarkEnd w:id="77"/>
    <w:bookmarkStart w:name="z81" w:id="78"/>
    <w:p>
      <w:pPr>
        <w:spacing w:after="0"/>
        <w:ind w:left="0"/>
        <w:jc w:val="both"/>
      </w:pPr>
      <w:r>
        <w:rPr>
          <w:rFonts w:ascii="Times New Roman"/>
          <w:b w:val="false"/>
          <w:i w:val="false"/>
          <w:color w:val="000000"/>
          <w:sz w:val="28"/>
        </w:rPr>
        <w:t>
      the amount of taxes and customs payments to the budget paid (transferred) by the taxpayer (tax agent), broken down by types;</w:t>
      </w:r>
    </w:p>
    <w:bookmarkEnd w:id="78"/>
    <w:bookmarkStart w:name="z82" w:id="79"/>
    <w:p>
      <w:pPr>
        <w:spacing w:after="0"/>
        <w:ind w:left="0"/>
        <w:jc w:val="both"/>
      </w:pPr>
      <w:r>
        <w:rPr>
          <w:rFonts w:ascii="Times New Roman"/>
          <w:b w:val="false"/>
          <w:i w:val="false"/>
          <w:color w:val="000000"/>
          <w:sz w:val="28"/>
        </w:rPr>
        <w:t>
      the total amount of taxes paid;</w:t>
      </w:r>
    </w:p>
    <w:bookmarkEnd w:id="79"/>
    <w:bookmarkStart w:name="z83" w:id="80"/>
    <w:p>
      <w:pPr>
        <w:spacing w:after="0"/>
        <w:ind w:left="0"/>
        <w:jc w:val="both"/>
      </w:pPr>
      <w:r>
        <w:rPr>
          <w:rFonts w:ascii="Times New Roman"/>
          <w:b w:val="false"/>
          <w:i w:val="false"/>
          <w:color w:val="000000"/>
          <w:sz w:val="28"/>
        </w:rPr>
        <w:t>
      total annual income adjusted for;</w:t>
      </w:r>
    </w:p>
    <w:bookmarkEnd w:id="80"/>
    <w:bookmarkStart w:name="z84" w:id="81"/>
    <w:p>
      <w:pPr>
        <w:spacing w:after="0"/>
        <w:ind w:left="0"/>
        <w:jc w:val="both"/>
      </w:pPr>
      <w:r>
        <w:rPr>
          <w:rFonts w:ascii="Times New Roman"/>
          <w:b w:val="false"/>
          <w:i w:val="false"/>
          <w:color w:val="000000"/>
          <w:sz w:val="28"/>
        </w:rPr>
        <w:t>
      taxable income taking into account losses incurred;</w:t>
      </w:r>
    </w:p>
    <w:bookmarkEnd w:id="81"/>
    <w:bookmarkStart w:name="z85" w:id="82"/>
    <w:p>
      <w:pPr>
        <w:spacing w:after="0"/>
        <w:ind w:left="0"/>
        <w:jc w:val="both"/>
      </w:pPr>
      <w:r>
        <w:rPr>
          <w:rFonts w:ascii="Times New Roman"/>
          <w:b w:val="false"/>
          <w:i w:val="false"/>
          <w:color w:val="000000"/>
          <w:sz w:val="28"/>
        </w:rPr>
        <w:t>
      corporate income tax;</w:t>
      </w:r>
    </w:p>
    <w:bookmarkEnd w:id="82"/>
    <w:bookmarkStart w:name="z86" w:id="83"/>
    <w:p>
      <w:pPr>
        <w:spacing w:after="0"/>
        <w:ind w:left="0"/>
        <w:jc w:val="both"/>
      </w:pPr>
      <w:r>
        <w:rPr>
          <w:rFonts w:ascii="Times New Roman"/>
          <w:b w:val="false"/>
          <w:i w:val="false"/>
          <w:color w:val="000000"/>
          <w:sz w:val="28"/>
        </w:rPr>
        <w:t>
      total deductions;</w:t>
      </w:r>
    </w:p>
    <w:bookmarkEnd w:id="83"/>
    <w:bookmarkStart w:name="z87" w:id="84"/>
    <w:p>
      <w:pPr>
        <w:spacing w:after="0"/>
        <w:ind w:left="0"/>
        <w:jc w:val="both"/>
      </w:pPr>
      <w:r>
        <w:rPr>
          <w:rFonts w:ascii="Times New Roman"/>
          <w:b w:val="false"/>
          <w:i w:val="false"/>
          <w:color w:val="000000"/>
          <w:sz w:val="28"/>
        </w:rPr>
        <w:t>
      value added tax;</w:t>
      </w:r>
    </w:p>
    <w:bookmarkEnd w:id="84"/>
    <w:bookmarkStart w:name="z88" w:id="85"/>
    <w:p>
      <w:pPr>
        <w:spacing w:after="0"/>
        <w:ind w:left="0"/>
        <w:jc w:val="both"/>
      </w:pPr>
      <w:r>
        <w:rPr>
          <w:rFonts w:ascii="Times New Roman"/>
          <w:b w:val="false"/>
          <w:i w:val="false"/>
          <w:color w:val="000000"/>
          <w:sz w:val="28"/>
        </w:rPr>
        <w:t>
      the amount of the refund to the taxpayer from the budget of the excess of the amount of value added tax, attributable to the offset, over the amount of the accrued tax;</w:t>
      </w:r>
    </w:p>
    <w:bookmarkEnd w:id="85"/>
    <w:bookmarkStart w:name="z89" w:id="86"/>
    <w:p>
      <w:pPr>
        <w:spacing w:after="0"/>
        <w:ind w:left="0"/>
        <w:jc w:val="both"/>
      </w:pPr>
      <w:r>
        <w:rPr>
          <w:rFonts w:ascii="Times New Roman"/>
          <w:b w:val="false"/>
          <w:i w:val="false"/>
          <w:color w:val="000000"/>
          <w:sz w:val="28"/>
        </w:rPr>
        <w:t>
      property tax;</w:t>
      </w:r>
    </w:p>
    <w:bookmarkEnd w:id="86"/>
    <w:bookmarkStart w:name="z90" w:id="87"/>
    <w:p>
      <w:pPr>
        <w:spacing w:after="0"/>
        <w:ind w:left="0"/>
        <w:jc w:val="both"/>
      </w:pPr>
      <w:r>
        <w:rPr>
          <w:rFonts w:ascii="Times New Roman"/>
          <w:b w:val="false"/>
          <w:i w:val="false"/>
          <w:color w:val="000000"/>
          <w:sz w:val="28"/>
        </w:rPr>
        <w:t>
      transport tax;</w:t>
      </w:r>
    </w:p>
    <w:bookmarkEnd w:id="87"/>
    <w:bookmarkStart w:name="z91" w:id="88"/>
    <w:p>
      <w:pPr>
        <w:spacing w:after="0"/>
        <w:ind w:left="0"/>
        <w:jc w:val="both"/>
      </w:pPr>
      <w:r>
        <w:rPr>
          <w:rFonts w:ascii="Times New Roman"/>
          <w:b w:val="false"/>
          <w:i w:val="false"/>
          <w:color w:val="000000"/>
          <w:sz w:val="28"/>
        </w:rPr>
        <w:t>
      number of staff;</w:t>
      </w:r>
    </w:p>
    <w:bookmarkEnd w:id="88"/>
    <w:bookmarkStart w:name="z92" w:id="89"/>
    <w:p>
      <w:pPr>
        <w:spacing w:after="0"/>
        <w:ind w:left="0"/>
        <w:jc w:val="both"/>
      </w:pPr>
      <w:r>
        <w:rPr>
          <w:rFonts w:ascii="Times New Roman"/>
          <w:b w:val="false"/>
          <w:i w:val="false"/>
          <w:color w:val="000000"/>
          <w:sz w:val="28"/>
        </w:rPr>
        <w:t>
      deductions from the wage fund (disaggregated by type of tax);</w:t>
      </w:r>
    </w:p>
    <w:bookmarkEnd w:id="89"/>
    <w:bookmarkStart w:name="z93" w:id="90"/>
    <w:p>
      <w:pPr>
        <w:spacing w:after="0"/>
        <w:ind w:left="0"/>
        <w:jc w:val="both"/>
      </w:pPr>
      <w:r>
        <w:rPr>
          <w:rFonts w:ascii="Times New Roman"/>
          <w:b w:val="false"/>
          <w:i w:val="false"/>
          <w:color w:val="000000"/>
          <w:sz w:val="28"/>
        </w:rPr>
        <w:t>
      lists of registered business entities:</w:t>
      </w:r>
    </w:p>
    <w:bookmarkEnd w:id="90"/>
    <w:bookmarkStart w:name="z94" w:id="91"/>
    <w:p>
      <w:pPr>
        <w:spacing w:after="0"/>
        <w:ind w:left="0"/>
        <w:jc w:val="both"/>
      </w:pPr>
      <w:r>
        <w:rPr>
          <w:rFonts w:ascii="Times New Roman"/>
          <w:b w:val="false"/>
          <w:i w:val="false"/>
          <w:color w:val="000000"/>
          <w:sz w:val="28"/>
        </w:rPr>
        <w:t>
      inactive taxpayers;</w:t>
      </w:r>
    </w:p>
    <w:bookmarkEnd w:id="91"/>
    <w:bookmarkStart w:name="z95" w:id="92"/>
    <w:p>
      <w:pPr>
        <w:spacing w:after="0"/>
        <w:ind w:left="0"/>
        <w:jc w:val="both"/>
      </w:pPr>
      <w:r>
        <w:rPr>
          <w:rFonts w:ascii="Times New Roman"/>
          <w:b w:val="false"/>
          <w:i w:val="false"/>
          <w:color w:val="000000"/>
          <w:sz w:val="28"/>
        </w:rPr>
        <w:t>
      recognized as pseudo-enterprises;</w:t>
      </w:r>
    </w:p>
    <w:bookmarkEnd w:id="92"/>
    <w:bookmarkStart w:name="z96" w:id="93"/>
    <w:p>
      <w:pPr>
        <w:spacing w:after="0"/>
        <w:ind w:left="0"/>
        <w:jc w:val="both"/>
      </w:pPr>
      <w:r>
        <w:rPr>
          <w:rFonts w:ascii="Times New Roman"/>
          <w:b w:val="false"/>
          <w:i w:val="false"/>
          <w:color w:val="000000"/>
          <w:sz w:val="28"/>
        </w:rPr>
        <w:t>
      absent at the legal address;</w:t>
      </w:r>
    </w:p>
    <w:bookmarkEnd w:id="93"/>
    <w:bookmarkStart w:name="z97" w:id="94"/>
    <w:p>
      <w:pPr>
        <w:spacing w:after="0"/>
        <w:ind w:left="0"/>
        <w:jc w:val="both"/>
      </w:pPr>
      <w:r>
        <w:rPr>
          <w:rFonts w:ascii="Times New Roman"/>
          <w:b w:val="false"/>
          <w:i w:val="false"/>
          <w:color w:val="000000"/>
          <w:sz w:val="28"/>
        </w:rPr>
        <w:t>
      declared bankrupt;</w:t>
      </w:r>
    </w:p>
    <w:bookmarkEnd w:id="94"/>
    <w:bookmarkStart w:name="z98" w:id="95"/>
    <w:p>
      <w:pPr>
        <w:spacing w:after="0"/>
        <w:ind w:left="0"/>
        <w:jc w:val="both"/>
      </w:pPr>
      <w:r>
        <w:rPr>
          <w:rFonts w:ascii="Times New Roman"/>
          <w:b w:val="false"/>
          <w:i w:val="false"/>
          <w:color w:val="000000"/>
          <w:sz w:val="28"/>
        </w:rPr>
        <w:t>
      declared inactive;</w:t>
      </w:r>
    </w:p>
    <w:bookmarkEnd w:id="95"/>
    <w:bookmarkStart w:name="z99" w:id="96"/>
    <w:p>
      <w:pPr>
        <w:spacing w:after="0"/>
        <w:ind w:left="0"/>
        <w:jc w:val="both"/>
      </w:pPr>
      <w:r>
        <w:rPr>
          <w:rFonts w:ascii="Times New Roman"/>
          <w:b w:val="false"/>
          <w:i w:val="false"/>
          <w:color w:val="000000"/>
          <w:sz w:val="28"/>
        </w:rPr>
        <w:t>
      whose registration has been declared invalid;</w:t>
      </w:r>
    </w:p>
    <w:bookmarkEnd w:id="96"/>
    <w:bookmarkStart w:name="z100" w:id="97"/>
    <w:p>
      <w:pPr>
        <w:spacing w:after="0"/>
        <w:ind w:left="0"/>
        <w:jc w:val="both"/>
      </w:pPr>
      <w:r>
        <w:rPr>
          <w:rFonts w:ascii="Times New Roman"/>
          <w:b w:val="false"/>
          <w:i w:val="false"/>
          <w:color w:val="000000"/>
          <w:sz w:val="28"/>
        </w:rPr>
        <w:t>
      reorganized in violation of the Tax Code;</w:t>
      </w:r>
    </w:p>
    <w:bookmarkEnd w:id="97"/>
    <w:bookmarkStart w:name="z101" w:id="98"/>
    <w:p>
      <w:pPr>
        <w:spacing w:after="0"/>
        <w:ind w:left="0"/>
        <w:jc w:val="both"/>
      </w:pPr>
      <w:r>
        <w:rPr>
          <w:rFonts w:ascii="Times New Roman"/>
          <w:b w:val="false"/>
          <w:i w:val="false"/>
          <w:color w:val="000000"/>
          <w:sz w:val="28"/>
        </w:rPr>
        <w:t>
      having a tax debt;</w:t>
      </w:r>
    </w:p>
    <w:bookmarkEnd w:id="98"/>
    <w:bookmarkStart w:name="z102" w:id="99"/>
    <w:p>
      <w:pPr>
        <w:spacing w:after="0"/>
        <w:ind w:left="0"/>
        <w:jc w:val="both"/>
      </w:pPr>
      <w:r>
        <w:rPr>
          <w:rFonts w:ascii="Times New Roman"/>
          <w:b w:val="false"/>
          <w:i w:val="false"/>
          <w:color w:val="000000"/>
          <w:sz w:val="28"/>
        </w:rPr>
        <w:t>
      2) the authorized state body that ensures the functioning of the state electronic register of permits and notifications, shall provide information on issued, reissued, suspended, cancelled, extended, renewed and terminated permits and their duplicates, as well as received notifications;</w:t>
      </w:r>
    </w:p>
    <w:bookmarkEnd w:id="99"/>
    <w:bookmarkStart w:name="z103" w:id="100"/>
    <w:p>
      <w:pPr>
        <w:spacing w:after="0"/>
        <w:ind w:left="0"/>
        <w:jc w:val="both"/>
      </w:pPr>
      <w:r>
        <w:rPr>
          <w:rFonts w:ascii="Times New Roman"/>
          <w:b w:val="false"/>
          <w:i w:val="false"/>
          <w:color w:val="000000"/>
          <w:sz w:val="28"/>
        </w:rPr>
        <w:t>
      3) the authorized body in the field of state registration of legal entities provides information on registered, operating, liquidated and other business entities, including:</w:t>
      </w:r>
    </w:p>
    <w:bookmarkEnd w:id="100"/>
    <w:bookmarkStart w:name="z104" w:id="101"/>
    <w:p>
      <w:pPr>
        <w:spacing w:after="0"/>
        <w:ind w:left="0"/>
        <w:jc w:val="both"/>
      </w:pPr>
      <w:r>
        <w:rPr>
          <w:rFonts w:ascii="Times New Roman"/>
          <w:b w:val="false"/>
          <w:i w:val="false"/>
          <w:color w:val="000000"/>
          <w:sz w:val="28"/>
        </w:rPr>
        <w:t>
      identification information:</w:t>
      </w:r>
    </w:p>
    <w:bookmarkEnd w:id="101"/>
    <w:bookmarkStart w:name="z105" w:id="102"/>
    <w:p>
      <w:pPr>
        <w:spacing w:after="0"/>
        <w:ind w:left="0"/>
        <w:jc w:val="both"/>
      </w:pPr>
      <w:r>
        <w:rPr>
          <w:rFonts w:ascii="Times New Roman"/>
          <w:b w:val="false"/>
          <w:i w:val="false"/>
          <w:color w:val="000000"/>
          <w:sz w:val="28"/>
        </w:rPr>
        <w:t>
      BIN;</w:t>
      </w:r>
    </w:p>
    <w:bookmarkEnd w:id="102"/>
    <w:bookmarkStart w:name="z106" w:id="103"/>
    <w:p>
      <w:pPr>
        <w:spacing w:after="0"/>
        <w:ind w:left="0"/>
        <w:jc w:val="both"/>
      </w:pPr>
      <w:r>
        <w:rPr>
          <w:rFonts w:ascii="Times New Roman"/>
          <w:b w:val="false"/>
          <w:i w:val="false"/>
          <w:color w:val="000000"/>
          <w:sz w:val="28"/>
        </w:rPr>
        <w:t>
      the status of the subject;</w:t>
      </w:r>
    </w:p>
    <w:bookmarkEnd w:id="103"/>
    <w:bookmarkStart w:name="z107" w:id="104"/>
    <w:p>
      <w:pPr>
        <w:spacing w:after="0"/>
        <w:ind w:left="0"/>
        <w:jc w:val="both"/>
      </w:pPr>
      <w:r>
        <w:rPr>
          <w:rFonts w:ascii="Times New Roman"/>
          <w:b w:val="false"/>
          <w:i w:val="false"/>
          <w:color w:val="000000"/>
          <w:sz w:val="28"/>
        </w:rPr>
        <w:t>
      the registration authority that registered the organization;</w:t>
      </w:r>
    </w:p>
    <w:bookmarkEnd w:id="104"/>
    <w:bookmarkStart w:name="z108" w:id="105"/>
    <w:p>
      <w:pPr>
        <w:spacing w:after="0"/>
        <w:ind w:left="0"/>
        <w:jc w:val="both"/>
      </w:pPr>
      <w:r>
        <w:rPr>
          <w:rFonts w:ascii="Times New Roman"/>
          <w:b w:val="false"/>
          <w:i w:val="false"/>
          <w:color w:val="000000"/>
          <w:sz w:val="28"/>
        </w:rPr>
        <w:t>
      date of initial registration;</w:t>
      </w:r>
    </w:p>
    <w:bookmarkEnd w:id="105"/>
    <w:bookmarkStart w:name="z109" w:id="106"/>
    <w:p>
      <w:pPr>
        <w:spacing w:after="0"/>
        <w:ind w:left="0"/>
        <w:jc w:val="both"/>
      </w:pPr>
      <w:r>
        <w:rPr>
          <w:rFonts w:ascii="Times New Roman"/>
          <w:b w:val="false"/>
          <w:i w:val="false"/>
          <w:color w:val="000000"/>
          <w:sz w:val="28"/>
        </w:rPr>
        <w:t>
      date of the last re-registration (if any);</w:t>
      </w:r>
    </w:p>
    <w:bookmarkEnd w:id="106"/>
    <w:bookmarkStart w:name="z110" w:id="107"/>
    <w:p>
      <w:pPr>
        <w:spacing w:after="0"/>
        <w:ind w:left="0"/>
        <w:jc w:val="both"/>
      </w:pPr>
      <w:r>
        <w:rPr>
          <w:rFonts w:ascii="Times New Roman"/>
          <w:b w:val="false"/>
          <w:i w:val="false"/>
          <w:color w:val="000000"/>
          <w:sz w:val="28"/>
        </w:rPr>
        <w:t>
      name in the state language;</w:t>
      </w:r>
    </w:p>
    <w:bookmarkEnd w:id="107"/>
    <w:bookmarkStart w:name="z111" w:id="108"/>
    <w:p>
      <w:pPr>
        <w:spacing w:after="0"/>
        <w:ind w:left="0"/>
        <w:jc w:val="both"/>
      </w:pPr>
      <w:r>
        <w:rPr>
          <w:rFonts w:ascii="Times New Roman"/>
          <w:b w:val="false"/>
          <w:i w:val="false"/>
          <w:color w:val="000000"/>
          <w:sz w:val="28"/>
        </w:rPr>
        <w:t>
      name in Russian;</w:t>
      </w:r>
    </w:p>
    <w:bookmarkEnd w:id="108"/>
    <w:bookmarkStart w:name="z112" w:id="109"/>
    <w:p>
      <w:pPr>
        <w:spacing w:after="0"/>
        <w:ind w:left="0"/>
        <w:jc w:val="both"/>
      </w:pPr>
      <w:r>
        <w:rPr>
          <w:rFonts w:ascii="Times New Roman"/>
          <w:b w:val="false"/>
          <w:i w:val="false"/>
          <w:color w:val="000000"/>
          <w:sz w:val="28"/>
        </w:rPr>
        <w:t>
      name in English (if any);</w:t>
      </w:r>
    </w:p>
    <w:bookmarkEnd w:id="109"/>
    <w:bookmarkStart w:name="z113" w:id="110"/>
    <w:p>
      <w:pPr>
        <w:spacing w:after="0"/>
        <w:ind w:left="0"/>
        <w:jc w:val="both"/>
      </w:pPr>
      <w:r>
        <w:rPr>
          <w:rFonts w:ascii="Times New Roman"/>
          <w:b w:val="false"/>
          <w:i w:val="false"/>
          <w:color w:val="000000"/>
          <w:sz w:val="28"/>
        </w:rPr>
        <w:t>
      abbreviated name in the state language (if any);</w:t>
      </w:r>
    </w:p>
    <w:bookmarkEnd w:id="110"/>
    <w:bookmarkStart w:name="z114" w:id="111"/>
    <w:p>
      <w:pPr>
        <w:spacing w:after="0"/>
        <w:ind w:left="0"/>
        <w:jc w:val="both"/>
      </w:pPr>
      <w:r>
        <w:rPr>
          <w:rFonts w:ascii="Times New Roman"/>
          <w:b w:val="false"/>
          <w:i w:val="false"/>
          <w:color w:val="000000"/>
          <w:sz w:val="28"/>
        </w:rPr>
        <w:t>
      abbreviated name in Russian (if any);</w:t>
      </w:r>
    </w:p>
    <w:bookmarkEnd w:id="111"/>
    <w:bookmarkStart w:name="z115" w:id="112"/>
    <w:p>
      <w:pPr>
        <w:spacing w:after="0"/>
        <w:ind w:left="0"/>
        <w:jc w:val="both"/>
      </w:pPr>
      <w:r>
        <w:rPr>
          <w:rFonts w:ascii="Times New Roman"/>
          <w:b w:val="false"/>
          <w:i w:val="false"/>
          <w:color w:val="000000"/>
          <w:sz w:val="28"/>
        </w:rPr>
        <w:t>
      abbreviated name in English (if any);</w:t>
      </w:r>
    </w:p>
    <w:bookmarkEnd w:id="112"/>
    <w:bookmarkStart w:name="z116" w:id="113"/>
    <w:p>
      <w:pPr>
        <w:spacing w:after="0"/>
        <w:ind w:left="0"/>
        <w:jc w:val="both"/>
      </w:pPr>
      <w:r>
        <w:rPr>
          <w:rFonts w:ascii="Times New Roman"/>
          <w:b w:val="false"/>
          <w:i w:val="false"/>
          <w:color w:val="000000"/>
          <w:sz w:val="28"/>
        </w:rPr>
        <w:t>
      form of organization;</w:t>
      </w:r>
    </w:p>
    <w:bookmarkEnd w:id="113"/>
    <w:bookmarkStart w:name="z117" w:id="114"/>
    <w:p>
      <w:pPr>
        <w:spacing w:after="0"/>
        <w:ind w:left="0"/>
        <w:jc w:val="both"/>
      </w:pPr>
      <w:r>
        <w:rPr>
          <w:rFonts w:ascii="Times New Roman"/>
          <w:b w:val="false"/>
          <w:i w:val="false"/>
          <w:color w:val="000000"/>
          <w:sz w:val="28"/>
        </w:rPr>
        <w:t>
      legal form (if any);</w:t>
      </w:r>
    </w:p>
    <w:bookmarkEnd w:id="114"/>
    <w:bookmarkStart w:name="z118" w:id="115"/>
    <w:p>
      <w:pPr>
        <w:spacing w:after="0"/>
        <w:ind w:left="0"/>
        <w:jc w:val="both"/>
      </w:pPr>
      <w:r>
        <w:rPr>
          <w:rFonts w:ascii="Times New Roman"/>
          <w:b w:val="false"/>
          <w:i w:val="false"/>
          <w:color w:val="000000"/>
          <w:sz w:val="28"/>
        </w:rPr>
        <w:t>
      type of private enterprise (if any);</w:t>
      </w:r>
    </w:p>
    <w:bookmarkEnd w:id="115"/>
    <w:bookmarkStart w:name="z119" w:id="116"/>
    <w:p>
      <w:pPr>
        <w:spacing w:after="0"/>
        <w:ind w:left="0"/>
        <w:jc w:val="both"/>
      </w:pPr>
      <w:r>
        <w:rPr>
          <w:rFonts w:ascii="Times New Roman"/>
          <w:b w:val="false"/>
          <w:i w:val="false"/>
          <w:color w:val="000000"/>
          <w:sz w:val="28"/>
        </w:rPr>
        <w:t>
      classification data of a legal entity:</w:t>
      </w:r>
    </w:p>
    <w:bookmarkEnd w:id="116"/>
    <w:bookmarkStart w:name="z120" w:id="117"/>
    <w:p>
      <w:pPr>
        <w:spacing w:after="0"/>
        <w:ind w:left="0"/>
        <w:jc w:val="both"/>
      </w:pPr>
      <w:r>
        <w:rPr>
          <w:rFonts w:ascii="Times New Roman"/>
          <w:b w:val="false"/>
          <w:i w:val="false"/>
          <w:color w:val="000000"/>
          <w:sz w:val="28"/>
        </w:rPr>
        <w:t>
      method of formation (for legal entities);</w:t>
      </w:r>
    </w:p>
    <w:bookmarkEnd w:id="117"/>
    <w:bookmarkStart w:name="z121" w:id="118"/>
    <w:p>
      <w:pPr>
        <w:spacing w:after="0"/>
        <w:ind w:left="0"/>
        <w:jc w:val="both"/>
      </w:pPr>
      <w:r>
        <w:rPr>
          <w:rFonts w:ascii="Times New Roman"/>
          <w:b w:val="false"/>
          <w:i w:val="false"/>
          <w:color w:val="000000"/>
          <w:sz w:val="28"/>
        </w:rPr>
        <w:t>
      type of ownership;</w:t>
      </w:r>
    </w:p>
    <w:bookmarkEnd w:id="118"/>
    <w:bookmarkStart w:name="z122" w:id="119"/>
    <w:p>
      <w:pPr>
        <w:spacing w:after="0"/>
        <w:ind w:left="0"/>
        <w:jc w:val="both"/>
      </w:pPr>
      <w:r>
        <w:rPr>
          <w:rFonts w:ascii="Times New Roman"/>
          <w:b w:val="false"/>
          <w:i w:val="false"/>
          <w:color w:val="000000"/>
          <w:sz w:val="28"/>
        </w:rPr>
        <w:t>
      commercial organization;</w:t>
      </w:r>
    </w:p>
    <w:bookmarkEnd w:id="119"/>
    <w:bookmarkStart w:name="z123" w:id="120"/>
    <w:p>
      <w:pPr>
        <w:spacing w:after="0"/>
        <w:ind w:left="0"/>
        <w:jc w:val="both"/>
      </w:pPr>
      <w:r>
        <w:rPr>
          <w:rFonts w:ascii="Times New Roman"/>
          <w:b w:val="false"/>
          <w:i w:val="false"/>
          <w:color w:val="000000"/>
          <w:sz w:val="28"/>
        </w:rPr>
        <w:t>
      business entity (for legal entities);</w:t>
      </w:r>
    </w:p>
    <w:bookmarkEnd w:id="120"/>
    <w:bookmarkStart w:name="z124" w:id="121"/>
    <w:p>
      <w:pPr>
        <w:spacing w:after="0"/>
        <w:ind w:left="0"/>
        <w:jc w:val="both"/>
      </w:pPr>
      <w:r>
        <w:rPr>
          <w:rFonts w:ascii="Times New Roman"/>
          <w:b w:val="false"/>
          <w:i w:val="false"/>
          <w:color w:val="000000"/>
          <w:sz w:val="28"/>
        </w:rPr>
        <w:t>
      international organization (for legal entities);</w:t>
      </w:r>
    </w:p>
    <w:bookmarkEnd w:id="121"/>
    <w:bookmarkStart w:name="z125" w:id="122"/>
    <w:p>
      <w:pPr>
        <w:spacing w:after="0"/>
        <w:ind w:left="0"/>
        <w:jc w:val="both"/>
      </w:pPr>
      <w:r>
        <w:rPr>
          <w:rFonts w:ascii="Times New Roman"/>
          <w:b w:val="false"/>
          <w:i w:val="false"/>
          <w:color w:val="000000"/>
          <w:sz w:val="28"/>
        </w:rPr>
        <w:t>
      with the participation of foreign investors (for legal entities);</w:t>
      </w:r>
    </w:p>
    <w:bookmarkEnd w:id="122"/>
    <w:bookmarkStart w:name="z126" w:id="123"/>
    <w:p>
      <w:pPr>
        <w:spacing w:after="0"/>
        <w:ind w:left="0"/>
        <w:jc w:val="both"/>
      </w:pPr>
      <w:r>
        <w:rPr>
          <w:rFonts w:ascii="Times New Roman"/>
          <w:b w:val="false"/>
          <w:i w:val="false"/>
          <w:color w:val="000000"/>
          <w:sz w:val="28"/>
        </w:rPr>
        <w:t>
      with the participation of stateless persons (for legal entities);</w:t>
      </w:r>
    </w:p>
    <w:bookmarkEnd w:id="123"/>
    <w:bookmarkStart w:name="z127" w:id="124"/>
    <w:p>
      <w:pPr>
        <w:spacing w:after="0"/>
        <w:ind w:left="0"/>
        <w:jc w:val="both"/>
      </w:pPr>
      <w:r>
        <w:rPr>
          <w:rFonts w:ascii="Times New Roman"/>
          <w:b w:val="false"/>
          <w:i w:val="false"/>
          <w:color w:val="000000"/>
          <w:sz w:val="28"/>
        </w:rPr>
        <w:t>
      activities are carried out according to a model charter (for legal entities);</w:t>
      </w:r>
    </w:p>
    <w:bookmarkEnd w:id="124"/>
    <w:bookmarkStart w:name="z128" w:id="125"/>
    <w:p>
      <w:pPr>
        <w:spacing w:after="0"/>
        <w:ind w:left="0"/>
        <w:jc w:val="both"/>
      </w:pPr>
      <w:r>
        <w:rPr>
          <w:rFonts w:ascii="Times New Roman"/>
          <w:b w:val="false"/>
          <w:i w:val="false"/>
          <w:color w:val="000000"/>
          <w:sz w:val="28"/>
        </w:rPr>
        <w:t>
      information about branches, and representative offices;</w:t>
      </w:r>
    </w:p>
    <w:bookmarkEnd w:id="125"/>
    <w:bookmarkStart w:name="z129" w:id="126"/>
    <w:p>
      <w:pPr>
        <w:spacing w:after="0"/>
        <w:ind w:left="0"/>
        <w:jc w:val="both"/>
      </w:pPr>
      <w:r>
        <w:rPr>
          <w:rFonts w:ascii="Times New Roman"/>
          <w:b w:val="false"/>
          <w:i w:val="false"/>
          <w:color w:val="000000"/>
          <w:sz w:val="28"/>
        </w:rPr>
        <w:t>
      information about liquidation;</w:t>
      </w:r>
    </w:p>
    <w:bookmarkEnd w:id="126"/>
    <w:bookmarkStart w:name="z130" w:id="127"/>
    <w:p>
      <w:pPr>
        <w:spacing w:after="0"/>
        <w:ind w:left="0"/>
        <w:jc w:val="both"/>
      </w:pPr>
      <w:r>
        <w:rPr>
          <w:rFonts w:ascii="Times New Roman"/>
          <w:b w:val="false"/>
          <w:i w:val="false"/>
          <w:color w:val="000000"/>
          <w:sz w:val="28"/>
        </w:rPr>
        <w:t>
      grounds for termination of activity;</w:t>
      </w:r>
    </w:p>
    <w:bookmarkEnd w:id="127"/>
    <w:bookmarkStart w:name="z131" w:id="128"/>
    <w:p>
      <w:pPr>
        <w:spacing w:after="0"/>
        <w:ind w:left="0"/>
        <w:jc w:val="both"/>
      </w:pPr>
      <w:r>
        <w:rPr>
          <w:rFonts w:ascii="Times New Roman"/>
          <w:b w:val="false"/>
          <w:i w:val="false"/>
          <w:color w:val="000000"/>
          <w:sz w:val="28"/>
        </w:rPr>
        <w:t>
      liquidation type;</w:t>
      </w:r>
    </w:p>
    <w:bookmarkEnd w:id="128"/>
    <w:bookmarkStart w:name="z132" w:id="129"/>
    <w:p>
      <w:pPr>
        <w:spacing w:after="0"/>
        <w:ind w:left="0"/>
        <w:jc w:val="both"/>
      </w:pPr>
      <w:r>
        <w:rPr>
          <w:rFonts w:ascii="Times New Roman"/>
          <w:b w:val="false"/>
          <w:i w:val="false"/>
          <w:color w:val="000000"/>
          <w:sz w:val="28"/>
        </w:rPr>
        <w:t>
      date of the decision on liquidation;</w:t>
      </w:r>
    </w:p>
    <w:bookmarkEnd w:id="129"/>
    <w:bookmarkStart w:name="z133" w:id="130"/>
    <w:p>
      <w:pPr>
        <w:spacing w:after="0"/>
        <w:ind w:left="0"/>
        <w:jc w:val="both"/>
      </w:pPr>
      <w:r>
        <w:rPr>
          <w:rFonts w:ascii="Times New Roman"/>
          <w:b w:val="false"/>
          <w:i w:val="false"/>
          <w:color w:val="000000"/>
          <w:sz w:val="28"/>
        </w:rPr>
        <w:t>
      date of registration of liquidation;</w:t>
      </w:r>
    </w:p>
    <w:bookmarkEnd w:id="130"/>
    <w:bookmarkStart w:name="z134" w:id="131"/>
    <w:p>
      <w:pPr>
        <w:spacing w:after="0"/>
        <w:ind w:left="0"/>
        <w:jc w:val="both"/>
      </w:pPr>
      <w:r>
        <w:rPr>
          <w:rFonts w:ascii="Times New Roman"/>
          <w:b w:val="false"/>
          <w:i w:val="false"/>
          <w:color w:val="000000"/>
          <w:sz w:val="28"/>
        </w:rPr>
        <w:t>
      type of reorganization;</w:t>
      </w:r>
    </w:p>
    <w:bookmarkEnd w:id="131"/>
    <w:bookmarkStart w:name="z135" w:id="132"/>
    <w:p>
      <w:pPr>
        <w:spacing w:after="0"/>
        <w:ind w:left="0"/>
        <w:jc w:val="both"/>
      </w:pPr>
      <w:r>
        <w:rPr>
          <w:rFonts w:ascii="Times New Roman"/>
          <w:b w:val="false"/>
          <w:i w:val="false"/>
          <w:color w:val="000000"/>
          <w:sz w:val="28"/>
        </w:rPr>
        <w:t>
      BIN of the assignee;</w:t>
      </w:r>
    </w:p>
    <w:bookmarkEnd w:id="132"/>
    <w:bookmarkStart w:name="z136" w:id="133"/>
    <w:p>
      <w:pPr>
        <w:spacing w:after="0"/>
        <w:ind w:left="0"/>
        <w:jc w:val="both"/>
      </w:pPr>
      <w:r>
        <w:rPr>
          <w:rFonts w:ascii="Times New Roman"/>
          <w:b w:val="false"/>
          <w:i w:val="false"/>
          <w:color w:val="000000"/>
          <w:sz w:val="28"/>
        </w:rPr>
        <w:t>
      supervisor:</w:t>
      </w:r>
    </w:p>
    <w:bookmarkEnd w:id="133"/>
    <w:bookmarkStart w:name="z137" w:id="134"/>
    <w:p>
      <w:pPr>
        <w:spacing w:after="0"/>
        <w:ind w:left="0"/>
        <w:jc w:val="both"/>
      </w:pPr>
      <w:r>
        <w:rPr>
          <w:rFonts w:ascii="Times New Roman"/>
          <w:b w:val="false"/>
          <w:i w:val="false"/>
          <w:color w:val="000000"/>
          <w:sz w:val="28"/>
        </w:rPr>
        <w:t>
      information about the position of the head (if any);</w:t>
      </w:r>
    </w:p>
    <w:bookmarkEnd w:id="134"/>
    <w:bookmarkStart w:name="z138" w:id="135"/>
    <w:p>
      <w:pPr>
        <w:spacing w:after="0"/>
        <w:ind w:left="0"/>
        <w:jc w:val="both"/>
      </w:pPr>
      <w:r>
        <w:rPr>
          <w:rFonts w:ascii="Times New Roman"/>
          <w:b w:val="false"/>
          <w:i w:val="false"/>
          <w:color w:val="000000"/>
          <w:sz w:val="28"/>
        </w:rPr>
        <w:t>
      position of the head (if any);</w:t>
      </w:r>
    </w:p>
    <w:bookmarkEnd w:id="135"/>
    <w:bookmarkStart w:name="z139" w:id="136"/>
    <w:p>
      <w:pPr>
        <w:spacing w:after="0"/>
        <w:ind w:left="0"/>
        <w:jc w:val="both"/>
      </w:pPr>
      <w:r>
        <w:rPr>
          <w:rFonts w:ascii="Times New Roman"/>
          <w:b w:val="false"/>
          <w:i w:val="false"/>
          <w:color w:val="000000"/>
          <w:sz w:val="28"/>
        </w:rPr>
        <w:t>
      date of appointment (if any);</w:t>
      </w:r>
    </w:p>
    <w:bookmarkEnd w:id="136"/>
    <w:bookmarkStart w:name="z140" w:id="137"/>
    <w:p>
      <w:pPr>
        <w:spacing w:after="0"/>
        <w:ind w:left="0"/>
        <w:jc w:val="both"/>
      </w:pPr>
      <w:r>
        <w:rPr>
          <w:rFonts w:ascii="Times New Roman"/>
          <w:b w:val="false"/>
          <w:i w:val="false"/>
          <w:color w:val="000000"/>
          <w:sz w:val="28"/>
        </w:rPr>
        <w:t>
      date of removal from office or termination of appointment to the position of manager (if any);</w:t>
      </w:r>
    </w:p>
    <w:bookmarkEnd w:id="137"/>
    <w:bookmarkStart w:name="z141" w:id="138"/>
    <w:p>
      <w:pPr>
        <w:spacing w:after="0"/>
        <w:ind w:left="0"/>
        <w:jc w:val="both"/>
      </w:pPr>
      <w:r>
        <w:rPr>
          <w:rFonts w:ascii="Times New Roman"/>
          <w:b w:val="false"/>
          <w:i w:val="false"/>
          <w:color w:val="000000"/>
          <w:sz w:val="28"/>
        </w:rPr>
        <w:t>
      country of permanent residence;</w:t>
      </w:r>
    </w:p>
    <w:bookmarkEnd w:id="138"/>
    <w:bookmarkStart w:name="z142" w:id="139"/>
    <w:p>
      <w:pPr>
        <w:spacing w:after="0"/>
        <w:ind w:left="0"/>
        <w:jc w:val="both"/>
      </w:pPr>
      <w:r>
        <w:rPr>
          <w:rFonts w:ascii="Times New Roman"/>
          <w:b w:val="false"/>
          <w:i w:val="false"/>
          <w:color w:val="000000"/>
          <w:sz w:val="28"/>
        </w:rPr>
        <w:t>
      country of citizenship;</w:t>
      </w:r>
    </w:p>
    <w:bookmarkEnd w:id="139"/>
    <w:bookmarkStart w:name="z143" w:id="140"/>
    <w:p>
      <w:pPr>
        <w:spacing w:after="0"/>
        <w:ind w:left="0"/>
        <w:jc w:val="both"/>
      </w:pPr>
      <w:r>
        <w:rPr>
          <w:rFonts w:ascii="Times New Roman"/>
          <w:b w:val="false"/>
          <w:i w:val="false"/>
          <w:color w:val="000000"/>
          <w:sz w:val="28"/>
        </w:rPr>
        <w:t>
      belonging to citizenship;</w:t>
      </w:r>
    </w:p>
    <w:bookmarkEnd w:id="140"/>
    <w:bookmarkStart w:name="z144" w:id="141"/>
    <w:p>
      <w:pPr>
        <w:spacing w:after="0"/>
        <w:ind w:left="0"/>
        <w:jc w:val="both"/>
      </w:pPr>
      <w:r>
        <w:rPr>
          <w:rFonts w:ascii="Times New Roman"/>
          <w:b w:val="false"/>
          <w:i w:val="false"/>
          <w:color w:val="000000"/>
          <w:sz w:val="28"/>
        </w:rPr>
        <w:t>
      IIN (if any);</w:t>
      </w:r>
    </w:p>
    <w:bookmarkEnd w:id="141"/>
    <w:bookmarkStart w:name="z145" w:id="142"/>
    <w:p>
      <w:pPr>
        <w:spacing w:after="0"/>
        <w:ind w:left="0"/>
        <w:jc w:val="both"/>
      </w:pPr>
      <w:r>
        <w:rPr>
          <w:rFonts w:ascii="Times New Roman"/>
          <w:b w:val="false"/>
          <w:i w:val="false"/>
          <w:color w:val="000000"/>
          <w:sz w:val="28"/>
        </w:rPr>
        <w:t>
      surname;</w:t>
      </w:r>
    </w:p>
    <w:bookmarkEnd w:id="142"/>
    <w:bookmarkStart w:name="z146" w:id="143"/>
    <w:p>
      <w:pPr>
        <w:spacing w:after="0"/>
        <w:ind w:left="0"/>
        <w:jc w:val="both"/>
      </w:pPr>
      <w:r>
        <w:rPr>
          <w:rFonts w:ascii="Times New Roman"/>
          <w:b w:val="false"/>
          <w:i w:val="false"/>
          <w:color w:val="000000"/>
          <w:sz w:val="28"/>
        </w:rPr>
        <w:t>
      name;</w:t>
      </w:r>
    </w:p>
    <w:bookmarkEnd w:id="143"/>
    <w:bookmarkStart w:name="z147" w:id="144"/>
    <w:p>
      <w:pPr>
        <w:spacing w:after="0"/>
        <w:ind w:left="0"/>
        <w:jc w:val="both"/>
      </w:pPr>
      <w:r>
        <w:rPr>
          <w:rFonts w:ascii="Times New Roman"/>
          <w:b w:val="false"/>
          <w:i w:val="false"/>
          <w:color w:val="000000"/>
          <w:sz w:val="28"/>
        </w:rPr>
        <w:t>
      patronymic;</w:t>
      </w:r>
    </w:p>
    <w:bookmarkEnd w:id="144"/>
    <w:bookmarkStart w:name="z148" w:id="145"/>
    <w:p>
      <w:pPr>
        <w:spacing w:after="0"/>
        <w:ind w:left="0"/>
        <w:jc w:val="both"/>
      </w:pPr>
      <w:r>
        <w:rPr>
          <w:rFonts w:ascii="Times New Roman"/>
          <w:b w:val="false"/>
          <w:i w:val="false"/>
          <w:color w:val="000000"/>
          <w:sz w:val="28"/>
        </w:rPr>
        <w:t>
      activities:</w:t>
      </w:r>
    </w:p>
    <w:bookmarkEnd w:id="145"/>
    <w:bookmarkStart w:name="z149" w:id="146"/>
    <w:p>
      <w:pPr>
        <w:spacing w:after="0"/>
        <w:ind w:left="0"/>
        <w:jc w:val="both"/>
      </w:pPr>
      <w:r>
        <w:rPr>
          <w:rFonts w:ascii="Times New Roman"/>
          <w:b w:val="false"/>
          <w:i w:val="false"/>
          <w:color w:val="000000"/>
          <w:sz w:val="28"/>
        </w:rPr>
        <w:t>
      primary occupation;</w:t>
      </w:r>
    </w:p>
    <w:bookmarkEnd w:id="146"/>
    <w:bookmarkStart w:name="z150" w:id="147"/>
    <w:p>
      <w:pPr>
        <w:spacing w:after="0"/>
        <w:ind w:left="0"/>
        <w:jc w:val="both"/>
      </w:pPr>
      <w:r>
        <w:rPr>
          <w:rFonts w:ascii="Times New Roman"/>
          <w:b w:val="false"/>
          <w:i w:val="false"/>
          <w:color w:val="000000"/>
          <w:sz w:val="28"/>
        </w:rPr>
        <w:t>
      OKED code;</w:t>
      </w:r>
    </w:p>
    <w:bookmarkEnd w:id="147"/>
    <w:bookmarkStart w:name="z151" w:id="148"/>
    <w:p>
      <w:pPr>
        <w:spacing w:after="0"/>
        <w:ind w:left="0"/>
        <w:jc w:val="both"/>
      </w:pPr>
      <w:r>
        <w:rPr>
          <w:rFonts w:ascii="Times New Roman"/>
          <w:b w:val="false"/>
          <w:i w:val="false"/>
          <w:color w:val="000000"/>
          <w:sz w:val="28"/>
        </w:rPr>
        <w:t>
      name of the type of activity in the state language;</w:t>
      </w:r>
    </w:p>
    <w:bookmarkEnd w:id="148"/>
    <w:bookmarkStart w:name="z152" w:id="149"/>
    <w:p>
      <w:pPr>
        <w:spacing w:after="0"/>
        <w:ind w:left="0"/>
        <w:jc w:val="both"/>
      </w:pPr>
      <w:r>
        <w:rPr>
          <w:rFonts w:ascii="Times New Roman"/>
          <w:b w:val="false"/>
          <w:i w:val="false"/>
          <w:color w:val="000000"/>
          <w:sz w:val="28"/>
        </w:rPr>
        <w:t>
      name of the type of activity in Russian;</w:t>
      </w:r>
    </w:p>
    <w:bookmarkEnd w:id="149"/>
    <w:bookmarkStart w:name="z153" w:id="150"/>
    <w:p>
      <w:pPr>
        <w:spacing w:after="0"/>
        <w:ind w:left="0"/>
        <w:jc w:val="both"/>
      </w:pPr>
      <w:r>
        <w:rPr>
          <w:rFonts w:ascii="Times New Roman"/>
          <w:b w:val="false"/>
          <w:i w:val="false"/>
          <w:color w:val="000000"/>
          <w:sz w:val="28"/>
        </w:rPr>
        <w:t>
      location address:</w:t>
      </w:r>
    </w:p>
    <w:bookmarkEnd w:id="150"/>
    <w:bookmarkStart w:name="z154" w:id="151"/>
    <w:p>
      <w:pPr>
        <w:spacing w:after="0"/>
        <w:ind w:left="0"/>
        <w:jc w:val="both"/>
      </w:pPr>
      <w:r>
        <w:rPr>
          <w:rFonts w:ascii="Times New Roman"/>
          <w:b w:val="false"/>
          <w:i w:val="false"/>
          <w:color w:val="000000"/>
          <w:sz w:val="28"/>
        </w:rPr>
        <w:t>
      address registration code (if any);</w:t>
      </w:r>
    </w:p>
    <w:bookmarkEnd w:id="151"/>
    <w:bookmarkStart w:name="z155" w:id="152"/>
    <w:p>
      <w:pPr>
        <w:spacing w:after="0"/>
        <w:ind w:left="0"/>
        <w:jc w:val="both"/>
      </w:pPr>
      <w:r>
        <w:rPr>
          <w:rFonts w:ascii="Times New Roman"/>
          <w:b w:val="false"/>
          <w:i w:val="false"/>
          <w:color w:val="000000"/>
          <w:sz w:val="28"/>
        </w:rPr>
        <w:t>
      postcode;</w:t>
      </w:r>
    </w:p>
    <w:bookmarkEnd w:id="152"/>
    <w:bookmarkStart w:name="z156" w:id="153"/>
    <w:p>
      <w:pPr>
        <w:spacing w:after="0"/>
        <w:ind w:left="0"/>
        <w:jc w:val="both"/>
      </w:pPr>
      <w:r>
        <w:rPr>
          <w:rFonts w:ascii="Times New Roman"/>
          <w:b w:val="false"/>
          <w:i w:val="false"/>
          <w:color w:val="000000"/>
          <w:sz w:val="28"/>
        </w:rPr>
        <w:t>
      code according to the classifier of administrative-territorial objects (hereinafter referred to as CATO);</w:t>
      </w:r>
    </w:p>
    <w:bookmarkEnd w:id="153"/>
    <w:bookmarkStart w:name="z157" w:id="154"/>
    <w:p>
      <w:pPr>
        <w:spacing w:after="0"/>
        <w:ind w:left="0"/>
        <w:jc w:val="both"/>
      </w:pPr>
      <w:r>
        <w:rPr>
          <w:rFonts w:ascii="Times New Roman"/>
          <w:b w:val="false"/>
          <w:i w:val="false"/>
          <w:color w:val="000000"/>
          <w:sz w:val="28"/>
        </w:rPr>
        <w:t>
      geonym code (if any);</w:t>
      </w:r>
    </w:p>
    <w:bookmarkEnd w:id="154"/>
    <w:bookmarkStart w:name="z158" w:id="155"/>
    <w:p>
      <w:pPr>
        <w:spacing w:after="0"/>
        <w:ind w:left="0"/>
        <w:jc w:val="both"/>
      </w:pPr>
      <w:r>
        <w:rPr>
          <w:rFonts w:ascii="Times New Roman"/>
          <w:b w:val="false"/>
          <w:i w:val="false"/>
          <w:color w:val="000000"/>
          <w:sz w:val="28"/>
        </w:rPr>
        <w:t>
      name of the region in the state language;</w:t>
      </w:r>
    </w:p>
    <w:bookmarkEnd w:id="155"/>
    <w:bookmarkStart w:name="z159" w:id="156"/>
    <w:p>
      <w:pPr>
        <w:spacing w:after="0"/>
        <w:ind w:left="0"/>
        <w:jc w:val="both"/>
      </w:pPr>
      <w:r>
        <w:rPr>
          <w:rFonts w:ascii="Times New Roman"/>
          <w:b w:val="false"/>
          <w:i w:val="false"/>
          <w:color w:val="000000"/>
          <w:sz w:val="28"/>
        </w:rPr>
        <w:t>
      name of the region in Russian;</w:t>
      </w:r>
    </w:p>
    <w:bookmarkEnd w:id="156"/>
    <w:bookmarkStart w:name="z160" w:id="157"/>
    <w:p>
      <w:pPr>
        <w:spacing w:after="0"/>
        <w:ind w:left="0"/>
        <w:jc w:val="both"/>
      </w:pPr>
      <w:r>
        <w:rPr>
          <w:rFonts w:ascii="Times New Roman"/>
          <w:b w:val="false"/>
          <w:i w:val="false"/>
          <w:color w:val="000000"/>
          <w:sz w:val="28"/>
        </w:rPr>
        <w:t>
      the name of the district in the state language;</w:t>
      </w:r>
    </w:p>
    <w:bookmarkEnd w:id="157"/>
    <w:bookmarkStart w:name="z161" w:id="158"/>
    <w:p>
      <w:pPr>
        <w:spacing w:after="0"/>
        <w:ind w:left="0"/>
        <w:jc w:val="both"/>
      </w:pPr>
      <w:r>
        <w:rPr>
          <w:rFonts w:ascii="Times New Roman"/>
          <w:b w:val="false"/>
          <w:i w:val="false"/>
          <w:color w:val="000000"/>
          <w:sz w:val="28"/>
        </w:rPr>
        <w:t>
      name of the district in Russian;</w:t>
      </w:r>
    </w:p>
    <w:bookmarkEnd w:id="158"/>
    <w:bookmarkStart w:name="z162" w:id="159"/>
    <w:p>
      <w:pPr>
        <w:spacing w:after="0"/>
        <w:ind w:left="0"/>
        <w:jc w:val="both"/>
      </w:pPr>
      <w:r>
        <w:rPr>
          <w:rFonts w:ascii="Times New Roman"/>
          <w:b w:val="false"/>
          <w:i w:val="false"/>
          <w:color w:val="000000"/>
          <w:sz w:val="28"/>
        </w:rPr>
        <w:t>
      the name of the rural district in the state language;</w:t>
      </w:r>
    </w:p>
    <w:bookmarkEnd w:id="159"/>
    <w:bookmarkStart w:name="z163" w:id="160"/>
    <w:p>
      <w:pPr>
        <w:spacing w:after="0"/>
        <w:ind w:left="0"/>
        <w:jc w:val="both"/>
      </w:pPr>
      <w:r>
        <w:rPr>
          <w:rFonts w:ascii="Times New Roman"/>
          <w:b w:val="false"/>
          <w:i w:val="false"/>
          <w:color w:val="000000"/>
          <w:sz w:val="28"/>
        </w:rPr>
        <w:t>
      the name of the rural district in Russian;</w:t>
      </w:r>
    </w:p>
    <w:bookmarkEnd w:id="160"/>
    <w:bookmarkStart w:name="z164" w:id="161"/>
    <w:p>
      <w:pPr>
        <w:spacing w:after="0"/>
        <w:ind w:left="0"/>
        <w:jc w:val="both"/>
      </w:pPr>
      <w:r>
        <w:rPr>
          <w:rFonts w:ascii="Times New Roman"/>
          <w:b w:val="false"/>
          <w:i w:val="false"/>
          <w:color w:val="000000"/>
          <w:sz w:val="28"/>
        </w:rPr>
        <w:t>
      the name of the settlement in the state language;</w:t>
      </w:r>
    </w:p>
    <w:bookmarkEnd w:id="161"/>
    <w:bookmarkStart w:name="z165" w:id="162"/>
    <w:p>
      <w:pPr>
        <w:spacing w:after="0"/>
        <w:ind w:left="0"/>
        <w:jc w:val="both"/>
      </w:pPr>
      <w:r>
        <w:rPr>
          <w:rFonts w:ascii="Times New Roman"/>
          <w:b w:val="false"/>
          <w:i w:val="false"/>
          <w:color w:val="000000"/>
          <w:sz w:val="28"/>
        </w:rPr>
        <w:t>
      the name of the settlement in Russian;</w:t>
      </w:r>
    </w:p>
    <w:bookmarkEnd w:id="162"/>
    <w:bookmarkStart w:name="z166" w:id="163"/>
    <w:p>
      <w:pPr>
        <w:spacing w:after="0"/>
        <w:ind w:left="0"/>
        <w:jc w:val="both"/>
      </w:pPr>
      <w:r>
        <w:rPr>
          <w:rFonts w:ascii="Times New Roman"/>
          <w:b w:val="false"/>
          <w:i w:val="false"/>
          <w:color w:val="000000"/>
          <w:sz w:val="28"/>
        </w:rPr>
        <w:t>
      street name in the state language;</w:t>
      </w:r>
    </w:p>
    <w:bookmarkEnd w:id="163"/>
    <w:bookmarkStart w:name="z167" w:id="164"/>
    <w:p>
      <w:pPr>
        <w:spacing w:after="0"/>
        <w:ind w:left="0"/>
        <w:jc w:val="both"/>
      </w:pPr>
      <w:r>
        <w:rPr>
          <w:rFonts w:ascii="Times New Roman"/>
          <w:b w:val="false"/>
          <w:i w:val="false"/>
          <w:color w:val="000000"/>
          <w:sz w:val="28"/>
        </w:rPr>
        <w:t>
      street name in Russian;</w:t>
      </w:r>
    </w:p>
    <w:bookmarkEnd w:id="164"/>
    <w:bookmarkStart w:name="z168" w:id="165"/>
    <w:p>
      <w:pPr>
        <w:spacing w:after="0"/>
        <w:ind w:left="0"/>
        <w:jc w:val="both"/>
      </w:pPr>
      <w:r>
        <w:rPr>
          <w:rFonts w:ascii="Times New Roman"/>
          <w:b w:val="false"/>
          <w:i w:val="false"/>
          <w:color w:val="000000"/>
          <w:sz w:val="28"/>
        </w:rPr>
        <w:t>
      type of building (if any);</w:t>
      </w:r>
    </w:p>
    <w:bookmarkEnd w:id="165"/>
    <w:bookmarkStart w:name="z169" w:id="166"/>
    <w:p>
      <w:pPr>
        <w:spacing w:after="0"/>
        <w:ind w:left="0"/>
        <w:jc w:val="both"/>
      </w:pPr>
      <w:r>
        <w:rPr>
          <w:rFonts w:ascii="Times New Roman"/>
          <w:b w:val="false"/>
          <w:i w:val="false"/>
          <w:color w:val="000000"/>
          <w:sz w:val="28"/>
        </w:rPr>
        <w:t>
      building number;</w:t>
      </w:r>
    </w:p>
    <w:bookmarkEnd w:id="166"/>
    <w:bookmarkStart w:name="z170" w:id="167"/>
    <w:p>
      <w:pPr>
        <w:spacing w:after="0"/>
        <w:ind w:left="0"/>
        <w:jc w:val="both"/>
      </w:pPr>
      <w:r>
        <w:rPr>
          <w:rFonts w:ascii="Times New Roman"/>
          <w:b w:val="false"/>
          <w:i w:val="false"/>
          <w:color w:val="000000"/>
          <w:sz w:val="28"/>
        </w:rPr>
        <w:t>
      block number (if any);</w:t>
      </w:r>
    </w:p>
    <w:bookmarkEnd w:id="167"/>
    <w:bookmarkStart w:name="z171" w:id="168"/>
    <w:p>
      <w:pPr>
        <w:spacing w:after="0"/>
        <w:ind w:left="0"/>
        <w:jc w:val="both"/>
      </w:pPr>
      <w:r>
        <w:rPr>
          <w:rFonts w:ascii="Times New Roman"/>
          <w:b w:val="false"/>
          <w:i w:val="false"/>
          <w:color w:val="000000"/>
          <w:sz w:val="28"/>
        </w:rPr>
        <w:t>
      case number (if any);</w:t>
      </w:r>
    </w:p>
    <w:bookmarkEnd w:id="168"/>
    <w:bookmarkStart w:name="z172" w:id="169"/>
    <w:p>
      <w:pPr>
        <w:spacing w:after="0"/>
        <w:ind w:left="0"/>
        <w:jc w:val="both"/>
      </w:pPr>
      <w:r>
        <w:rPr>
          <w:rFonts w:ascii="Times New Roman"/>
          <w:b w:val="false"/>
          <w:i w:val="false"/>
          <w:color w:val="000000"/>
          <w:sz w:val="28"/>
        </w:rPr>
        <w:t>
      type of premises (if any);</w:t>
      </w:r>
    </w:p>
    <w:bookmarkEnd w:id="169"/>
    <w:bookmarkStart w:name="z173" w:id="170"/>
    <w:p>
      <w:pPr>
        <w:spacing w:after="0"/>
        <w:ind w:left="0"/>
        <w:jc w:val="both"/>
      </w:pPr>
      <w:r>
        <w:rPr>
          <w:rFonts w:ascii="Times New Roman"/>
          <w:b w:val="false"/>
          <w:i w:val="false"/>
          <w:color w:val="000000"/>
          <w:sz w:val="28"/>
        </w:rPr>
        <w:t>
      number of the room;</w:t>
      </w:r>
    </w:p>
    <w:bookmarkEnd w:id="170"/>
    <w:bookmarkStart w:name="z174" w:id="171"/>
    <w:p>
      <w:pPr>
        <w:spacing w:after="0"/>
        <w:ind w:left="0"/>
        <w:jc w:val="both"/>
      </w:pPr>
      <w:r>
        <w:rPr>
          <w:rFonts w:ascii="Times New Roman"/>
          <w:b w:val="false"/>
          <w:i w:val="false"/>
          <w:color w:val="000000"/>
          <w:sz w:val="28"/>
        </w:rPr>
        <w:t>
      office number;</w:t>
      </w:r>
    </w:p>
    <w:bookmarkEnd w:id="171"/>
    <w:bookmarkStart w:name="z175" w:id="172"/>
    <w:p>
      <w:pPr>
        <w:spacing w:after="0"/>
        <w:ind w:left="0"/>
        <w:jc w:val="both"/>
      </w:pPr>
      <w:r>
        <w:rPr>
          <w:rFonts w:ascii="Times New Roman"/>
          <w:b w:val="false"/>
          <w:i w:val="false"/>
          <w:color w:val="000000"/>
          <w:sz w:val="28"/>
        </w:rPr>
        <w:t>
      information about the founders of legal entities:</w:t>
      </w:r>
    </w:p>
    <w:bookmarkEnd w:id="172"/>
    <w:bookmarkStart w:name="z176" w:id="173"/>
    <w:p>
      <w:pPr>
        <w:spacing w:after="0"/>
        <w:ind w:left="0"/>
        <w:jc w:val="both"/>
      </w:pPr>
      <w:r>
        <w:rPr>
          <w:rFonts w:ascii="Times New Roman"/>
          <w:b w:val="false"/>
          <w:i w:val="false"/>
          <w:color w:val="000000"/>
          <w:sz w:val="28"/>
        </w:rPr>
        <w:t>
      BIN (if any);</w:t>
      </w:r>
    </w:p>
    <w:bookmarkEnd w:id="173"/>
    <w:bookmarkStart w:name="z177" w:id="174"/>
    <w:p>
      <w:pPr>
        <w:spacing w:after="0"/>
        <w:ind w:left="0"/>
        <w:jc w:val="both"/>
      </w:pPr>
      <w:r>
        <w:rPr>
          <w:rFonts w:ascii="Times New Roman"/>
          <w:b w:val="false"/>
          <w:i w:val="false"/>
          <w:color w:val="000000"/>
          <w:sz w:val="28"/>
        </w:rPr>
        <w:t>
      country of incorporation;</w:t>
      </w:r>
    </w:p>
    <w:bookmarkEnd w:id="174"/>
    <w:bookmarkStart w:name="z178" w:id="175"/>
    <w:p>
      <w:pPr>
        <w:spacing w:after="0"/>
        <w:ind w:left="0"/>
        <w:jc w:val="both"/>
      </w:pPr>
      <w:r>
        <w:rPr>
          <w:rFonts w:ascii="Times New Roman"/>
          <w:b w:val="false"/>
          <w:i w:val="false"/>
          <w:color w:val="000000"/>
          <w:sz w:val="28"/>
        </w:rPr>
        <w:t>
      registration number in the country of incorporation (for non-residents);</w:t>
      </w:r>
    </w:p>
    <w:bookmarkEnd w:id="175"/>
    <w:bookmarkStart w:name="z179" w:id="176"/>
    <w:p>
      <w:pPr>
        <w:spacing w:after="0"/>
        <w:ind w:left="0"/>
        <w:jc w:val="both"/>
      </w:pPr>
      <w:r>
        <w:rPr>
          <w:rFonts w:ascii="Times New Roman"/>
          <w:b w:val="false"/>
          <w:i w:val="false"/>
          <w:color w:val="000000"/>
          <w:sz w:val="28"/>
        </w:rPr>
        <w:t>
      date of (re) registration;</w:t>
      </w:r>
    </w:p>
    <w:bookmarkEnd w:id="176"/>
    <w:bookmarkStart w:name="z180" w:id="177"/>
    <w:p>
      <w:pPr>
        <w:spacing w:after="0"/>
        <w:ind w:left="0"/>
        <w:jc w:val="both"/>
      </w:pPr>
      <w:r>
        <w:rPr>
          <w:rFonts w:ascii="Times New Roman"/>
          <w:b w:val="false"/>
          <w:i w:val="false"/>
          <w:color w:val="000000"/>
          <w:sz w:val="28"/>
        </w:rPr>
        <w:t>
      full name in the state language;</w:t>
      </w:r>
    </w:p>
    <w:bookmarkEnd w:id="177"/>
    <w:bookmarkStart w:name="z181" w:id="178"/>
    <w:p>
      <w:pPr>
        <w:spacing w:after="0"/>
        <w:ind w:left="0"/>
        <w:jc w:val="both"/>
      </w:pPr>
      <w:r>
        <w:rPr>
          <w:rFonts w:ascii="Times New Roman"/>
          <w:b w:val="false"/>
          <w:i w:val="false"/>
          <w:color w:val="000000"/>
          <w:sz w:val="28"/>
        </w:rPr>
        <w:t>
      full name in Russian;</w:t>
      </w:r>
    </w:p>
    <w:bookmarkEnd w:id="178"/>
    <w:bookmarkStart w:name="z182" w:id="179"/>
    <w:p>
      <w:pPr>
        <w:spacing w:after="0"/>
        <w:ind w:left="0"/>
        <w:jc w:val="both"/>
      </w:pPr>
      <w:r>
        <w:rPr>
          <w:rFonts w:ascii="Times New Roman"/>
          <w:b w:val="false"/>
          <w:i w:val="false"/>
          <w:color w:val="000000"/>
          <w:sz w:val="28"/>
        </w:rPr>
        <w:t>
      information about the founders of individuals:</w:t>
      </w:r>
    </w:p>
    <w:bookmarkEnd w:id="179"/>
    <w:bookmarkStart w:name="z183" w:id="180"/>
    <w:p>
      <w:pPr>
        <w:spacing w:after="0"/>
        <w:ind w:left="0"/>
        <w:jc w:val="both"/>
      </w:pPr>
      <w:r>
        <w:rPr>
          <w:rFonts w:ascii="Times New Roman"/>
          <w:b w:val="false"/>
          <w:i w:val="false"/>
          <w:color w:val="000000"/>
          <w:sz w:val="28"/>
        </w:rPr>
        <w:t>
      country of permanent residence;</w:t>
      </w:r>
    </w:p>
    <w:bookmarkEnd w:id="180"/>
    <w:bookmarkStart w:name="z184" w:id="181"/>
    <w:p>
      <w:pPr>
        <w:spacing w:after="0"/>
        <w:ind w:left="0"/>
        <w:jc w:val="both"/>
      </w:pPr>
      <w:r>
        <w:rPr>
          <w:rFonts w:ascii="Times New Roman"/>
          <w:b w:val="false"/>
          <w:i w:val="false"/>
          <w:color w:val="000000"/>
          <w:sz w:val="28"/>
        </w:rPr>
        <w:t>
      belonging to citizenship;</w:t>
      </w:r>
    </w:p>
    <w:bookmarkEnd w:id="181"/>
    <w:bookmarkStart w:name="z185" w:id="182"/>
    <w:p>
      <w:pPr>
        <w:spacing w:after="0"/>
        <w:ind w:left="0"/>
        <w:jc w:val="both"/>
      </w:pPr>
      <w:r>
        <w:rPr>
          <w:rFonts w:ascii="Times New Roman"/>
          <w:b w:val="false"/>
          <w:i w:val="false"/>
          <w:color w:val="000000"/>
          <w:sz w:val="28"/>
        </w:rPr>
        <w:t>
      country of citizenship;</w:t>
      </w:r>
    </w:p>
    <w:bookmarkEnd w:id="182"/>
    <w:bookmarkStart w:name="z186" w:id="183"/>
    <w:p>
      <w:pPr>
        <w:spacing w:after="0"/>
        <w:ind w:left="0"/>
        <w:jc w:val="both"/>
      </w:pPr>
      <w:r>
        <w:rPr>
          <w:rFonts w:ascii="Times New Roman"/>
          <w:b w:val="false"/>
          <w:i w:val="false"/>
          <w:color w:val="000000"/>
          <w:sz w:val="28"/>
        </w:rPr>
        <w:t>
      IIN (if any);</w:t>
      </w:r>
    </w:p>
    <w:bookmarkEnd w:id="183"/>
    <w:bookmarkStart w:name="z187" w:id="184"/>
    <w:p>
      <w:pPr>
        <w:spacing w:after="0"/>
        <w:ind w:left="0"/>
        <w:jc w:val="both"/>
      </w:pPr>
      <w:r>
        <w:rPr>
          <w:rFonts w:ascii="Times New Roman"/>
          <w:b w:val="false"/>
          <w:i w:val="false"/>
          <w:color w:val="000000"/>
          <w:sz w:val="28"/>
        </w:rPr>
        <w:t>
      tax number in the country of incorporation (for non-residents);</w:t>
      </w:r>
    </w:p>
    <w:bookmarkEnd w:id="184"/>
    <w:bookmarkStart w:name="z188" w:id="185"/>
    <w:p>
      <w:pPr>
        <w:spacing w:after="0"/>
        <w:ind w:left="0"/>
        <w:jc w:val="both"/>
      </w:pPr>
      <w:r>
        <w:rPr>
          <w:rFonts w:ascii="Times New Roman"/>
          <w:b w:val="false"/>
          <w:i w:val="false"/>
          <w:color w:val="000000"/>
          <w:sz w:val="28"/>
        </w:rPr>
        <w:t>
      surname;</w:t>
      </w:r>
    </w:p>
    <w:bookmarkEnd w:id="185"/>
    <w:bookmarkStart w:name="z189" w:id="186"/>
    <w:p>
      <w:pPr>
        <w:spacing w:after="0"/>
        <w:ind w:left="0"/>
        <w:jc w:val="both"/>
      </w:pPr>
      <w:r>
        <w:rPr>
          <w:rFonts w:ascii="Times New Roman"/>
          <w:b w:val="false"/>
          <w:i w:val="false"/>
          <w:color w:val="000000"/>
          <w:sz w:val="28"/>
        </w:rPr>
        <w:t>
      name;</w:t>
      </w:r>
    </w:p>
    <w:bookmarkEnd w:id="186"/>
    <w:bookmarkStart w:name="z190" w:id="187"/>
    <w:p>
      <w:pPr>
        <w:spacing w:after="0"/>
        <w:ind w:left="0"/>
        <w:jc w:val="both"/>
      </w:pPr>
      <w:r>
        <w:rPr>
          <w:rFonts w:ascii="Times New Roman"/>
          <w:b w:val="false"/>
          <w:i w:val="false"/>
          <w:color w:val="000000"/>
          <w:sz w:val="28"/>
        </w:rPr>
        <w:t>
      patronymic;</w:t>
      </w:r>
    </w:p>
    <w:bookmarkEnd w:id="187"/>
    <w:bookmarkStart w:name="z191" w:id="188"/>
    <w:p>
      <w:pPr>
        <w:spacing w:after="0"/>
        <w:ind w:left="0"/>
        <w:jc w:val="both"/>
      </w:pPr>
      <w:r>
        <w:rPr>
          <w:rFonts w:ascii="Times New Roman"/>
          <w:b w:val="false"/>
          <w:i w:val="false"/>
          <w:color w:val="000000"/>
          <w:sz w:val="28"/>
        </w:rPr>
        <w:t>
      the total number of participants, founders;</w:t>
      </w:r>
    </w:p>
    <w:bookmarkEnd w:id="188"/>
    <w:bookmarkStart w:name="z192" w:id="189"/>
    <w:p>
      <w:pPr>
        <w:spacing w:after="0"/>
        <w:ind w:left="0"/>
        <w:jc w:val="both"/>
      </w:pPr>
      <w:r>
        <w:rPr>
          <w:rFonts w:ascii="Times New Roman"/>
          <w:b w:val="false"/>
          <w:i w:val="false"/>
          <w:color w:val="000000"/>
          <w:sz w:val="28"/>
        </w:rPr>
        <w:t>
      including individuals;</w:t>
      </w:r>
    </w:p>
    <w:bookmarkEnd w:id="189"/>
    <w:bookmarkStart w:name="z193" w:id="190"/>
    <w:p>
      <w:pPr>
        <w:spacing w:after="0"/>
        <w:ind w:left="0"/>
        <w:jc w:val="both"/>
      </w:pPr>
      <w:r>
        <w:rPr>
          <w:rFonts w:ascii="Times New Roman"/>
          <w:b w:val="false"/>
          <w:i w:val="false"/>
          <w:color w:val="000000"/>
          <w:sz w:val="28"/>
        </w:rPr>
        <w:t>
      including legal entities;</w:t>
      </w:r>
    </w:p>
    <w:bookmarkEnd w:id="190"/>
    <w:bookmarkStart w:name="z194" w:id="191"/>
    <w:p>
      <w:pPr>
        <w:spacing w:after="0"/>
        <w:ind w:left="0"/>
        <w:jc w:val="both"/>
      </w:pPr>
      <w:r>
        <w:rPr>
          <w:rFonts w:ascii="Times New Roman"/>
          <w:b w:val="false"/>
          <w:i w:val="false"/>
          <w:color w:val="000000"/>
          <w:sz w:val="28"/>
        </w:rPr>
        <w:t>
      information about the parent organization of the branch or representative office:</w:t>
      </w:r>
    </w:p>
    <w:bookmarkEnd w:id="191"/>
    <w:bookmarkStart w:name="z195" w:id="192"/>
    <w:p>
      <w:pPr>
        <w:spacing w:after="0"/>
        <w:ind w:left="0"/>
        <w:jc w:val="both"/>
      </w:pPr>
      <w:r>
        <w:rPr>
          <w:rFonts w:ascii="Times New Roman"/>
          <w:b w:val="false"/>
          <w:i w:val="false"/>
          <w:color w:val="000000"/>
          <w:sz w:val="28"/>
        </w:rPr>
        <w:t>
      BIN (if any);</w:t>
      </w:r>
    </w:p>
    <w:bookmarkEnd w:id="192"/>
    <w:bookmarkStart w:name="z196" w:id="193"/>
    <w:p>
      <w:pPr>
        <w:spacing w:after="0"/>
        <w:ind w:left="0"/>
        <w:jc w:val="both"/>
      </w:pPr>
      <w:r>
        <w:rPr>
          <w:rFonts w:ascii="Times New Roman"/>
          <w:b w:val="false"/>
          <w:i w:val="false"/>
          <w:color w:val="000000"/>
          <w:sz w:val="28"/>
        </w:rPr>
        <w:t>
      country of incorporation;</w:t>
      </w:r>
    </w:p>
    <w:bookmarkEnd w:id="193"/>
    <w:bookmarkStart w:name="z197" w:id="194"/>
    <w:p>
      <w:pPr>
        <w:spacing w:after="0"/>
        <w:ind w:left="0"/>
        <w:jc w:val="both"/>
      </w:pPr>
      <w:r>
        <w:rPr>
          <w:rFonts w:ascii="Times New Roman"/>
          <w:b w:val="false"/>
          <w:i w:val="false"/>
          <w:color w:val="000000"/>
          <w:sz w:val="28"/>
        </w:rPr>
        <w:t>
      registration number in the country of incorporation (for non-residents);</w:t>
      </w:r>
    </w:p>
    <w:bookmarkEnd w:id="194"/>
    <w:bookmarkStart w:name="z198" w:id="195"/>
    <w:p>
      <w:pPr>
        <w:spacing w:after="0"/>
        <w:ind w:left="0"/>
        <w:jc w:val="both"/>
      </w:pPr>
      <w:r>
        <w:rPr>
          <w:rFonts w:ascii="Times New Roman"/>
          <w:b w:val="false"/>
          <w:i w:val="false"/>
          <w:color w:val="000000"/>
          <w:sz w:val="28"/>
        </w:rPr>
        <w:t>
      date of (re) registration;</w:t>
      </w:r>
    </w:p>
    <w:bookmarkEnd w:id="195"/>
    <w:bookmarkStart w:name="z199" w:id="196"/>
    <w:p>
      <w:pPr>
        <w:spacing w:after="0"/>
        <w:ind w:left="0"/>
        <w:jc w:val="both"/>
      </w:pPr>
      <w:r>
        <w:rPr>
          <w:rFonts w:ascii="Times New Roman"/>
          <w:b w:val="false"/>
          <w:i w:val="false"/>
          <w:color w:val="000000"/>
          <w:sz w:val="28"/>
        </w:rPr>
        <w:t>
      full name in the state language;</w:t>
      </w:r>
    </w:p>
    <w:bookmarkEnd w:id="196"/>
    <w:bookmarkStart w:name="z200" w:id="197"/>
    <w:p>
      <w:pPr>
        <w:spacing w:after="0"/>
        <w:ind w:left="0"/>
        <w:jc w:val="both"/>
      </w:pPr>
      <w:r>
        <w:rPr>
          <w:rFonts w:ascii="Times New Roman"/>
          <w:b w:val="false"/>
          <w:i w:val="false"/>
          <w:color w:val="000000"/>
          <w:sz w:val="28"/>
        </w:rPr>
        <w:t>
      full name in Russian;</w:t>
      </w:r>
    </w:p>
    <w:bookmarkEnd w:id="197"/>
    <w:bookmarkStart w:name="z201" w:id="198"/>
    <w:p>
      <w:pPr>
        <w:spacing w:after="0"/>
        <w:ind w:left="0"/>
        <w:jc w:val="both"/>
      </w:pPr>
      <w:r>
        <w:rPr>
          <w:rFonts w:ascii="Times New Roman"/>
          <w:b w:val="false"/>
          <w:i w:val="false"/>
          <w:color w:val="000000"/>
          <w:sz w:val="28"/>
        </w:rPr>
        <w:t>
      type of activity (for non-residents);</w:t>
      </w:r>
    </w:p>
    <w:bookmarkEnd w:id="198"/>
    <w:bookmarkStart w:name="z202" w:id="199"/>
    <w:p>
      <w:pPr>
        <w:spacing w:after="0"/>
        <w:ind w:left="0"/>
        <w:jc w:val="both"/>
      </w:pPr>
      <w:r>
        <w:rPr>
          <w:rFonts w:ascii="Times New Roman"/>
          <w:b w:val="false"/>
          <w:i w:val="false"/>
          <w:color w:val="000000"/>
          <w:sz w:val="28"/>
        </w:rPr>
        <w:t>
      4) the authorized body in the field of state statistics provides data on business entities:</w:t>
      </w:r>
    </w:p>
    <w:bookmarkEnd w:id="199"/>
    <w:bookmarkStart w:name="z203" w:id="200"/>
    <w:p>
      <w:pPr>
        <w:spacing w:after="0"/>
        <w:ind w:left="0"/>
        <w:jc w:val="both"/>
      </w:pPr>
      <w:r>
        <w:rPr>
          <w:rFonts w:ascii="Times New Roman"/>
          <w:b w:val="false"/>
          <w:i w:val="false"/>
          <w:color w:val="000000"/>
          <w:sz w:val="28"/>
        </w:rPr>
        <w:t>
      BIN/IIN;</w:t>
      </w:r>
    </w:p>
    <w:bookmarkEnd w:id="200"/>
    <w:bookmarkStart w:name="z204" w:id="201"/>
    <w:p>
      <w:pPr>
        <w:spacing w:after="0"/>
        <w:ind w:left="0"/>
        <w:jc w:val="both"/>
      </w:pPr>
      <w:r>
        <w:rPr>
          <w:rFonts w:ascii="Times New Roman"/>
          <w:b w:val="false"/>
          <w:i w:val="false"/>
          <w:color w:val="000000"/>
          <w:sz w:val="28"/>
        </w:rPr>
        <w:t>
      CATO code;</w:t>
      </w:r>
    </w:p>
    <w:bookmarkEnd w:id="201"/>
    <w:bookmarkStart w:name="z205" w:id="202"/>
    <w:p>
      <w:pPr>
        <w:spacing w:after="0"/>
        <w:ind w:left="0"/>
        <w:jc w:val="both"/>
      </w:pPr>
      <w:r>
        <w:rPr>
          <w:rFonts w:ascii="Times New Roman"/>
          <w:b w:val="false"/>
          <w:i w:val="false"/>
          <w:color w:val="000000"/>
          <w:sz w:val="28"/>
        </w:rPr>
        <w:t>
      type of economic activity according to CCEA;</w:t>
      </w:r>
    </w:p>
    <w:bookmarkEnd w:id="202"/>
    <w:bookmarkStart w:name="z206" w:id="203"/>
    <w:p>
      <w:pPr>
        <w:spacing w:after="0"/>
        <w:ind w:left="0"/>
        <w:jc w:val="both"/>
      </w:pPr>
      <w:r>
        <w:rPr>
          <w:rFonts w:ascii="Times New Roman"/>
          <w:b w:val="false"/>
          <w:i w:val="false"/>
          <w:color w:val="000000"/>
          <w:sz w:val="28"/>
        </w:rPr>
        <w:t>
      name of the type of economic activity;</w:t>
      </w:r>
    </w:p>
    <w:bookmarkEnd w:id="203"/>
    <w:bookmarkStart w:name="z207" w:id="204"/>
    <w:p>
      <w:pPr>
        <w:spacing w:after="0"/>
        <w:ind w:left="0"/>
        <w:jc w:val="both"/>
      </w:pPr>
      <w:r>
        <w:rPr>
          <w:rFonts w:ascii="Times New Roman"/>
          <w:b w:val="false"/>
          <w:i w:val="false"/>
          <w:color w:val="000000"/>
          <w:sz w:val="28"/>
        </w:rPr>
        <w:t>
      secondary CCEA (if any/directly the code and its name);</w:t>
      </w:r>
    </w:p>
    <w:bookmarkEnd w:id="204"/>
    <w:bookmarkStart w:name="z208" w:id="205"/>
    <w:p>
      <w:pPr>
        <w:spacing w:after="0"/>
        <w:ind w:left="0"/>
        <w:jc w:val="both"/>
      </w:pPr>
      <w:r>
        <w:rPr>
          <w:rFonts w:ascii="Times New Roman"/>
          <w:b w:val="false"/>
          <w:i w:val="false"/>
          <w:color w:val="000000"/>
          <w:sz w:val="28"/>
        </w:rPr>
        <w:t>
      code according to the classifier of the dimension of legal entities, branches and representative offices by the number of employees (hereinafter referred to as СВO);</w:t>
      </w:r>
    </w:p>
    <w:bookmarkEnd w:id="205"/>
    <w:bookmarkStart w:name="z209" w:id="206"/>
    <w:p>
      <w:pPr>
        <w:spacing w:after="0"/>
        <w:ind w:left="0"/>
        <w:jc w:val="both"/>
      </w:pPr>
      <w:r>
        <w:rPr>
          <w:rFonts w:ascii="Times New Roman"/>
          <w:b w:val="false"/>
          <w:i w:val="false"/>
          <w:color w:val="000000"/>
          <w:sz w:val="28"/>
        </w:rPr>
        <w:t>
      name of the СВO;</w:t>
      </w:r>
    </w:p>
    <w:bookmarkEnd w:id="206"/>
    <w:bookmarkStart w:name="z210" w:id="207"/>
    <w:p>
      <w:pPr>
        <w:spacing w:after="0"/>
        <w:ind w:left="0"/>
        <w:jc w:val="both"/>
      </w:pPr>
      <w:r>
        <w:rPr>
          <w:rFonts w:ascii="Times New Roman"/>
          <w:b w:val="false"/>
          <w:i w:val="false"/>
          <w:color w:val="000000"/>
          <w:sz w:val="28"/>
        </w:rPr>
        <w:t>
      5) the authorized body for the formation of a unified register of addresses of real estate objects on the territory of the Republic of Kazakhstan shall provide information on the location of real estate objects registered for business entities on the territory of the Republic of Kazakhstan;</w:t>
      </w:r>
    </w:p>
    <w:bookmarkEnd w:id="207"/>
    <w:bookmarkStart w:name="z211" w:id="208"/>
    <w:p>
      <w:pPr>
        <w:spacing w:after="0"/>
        <w:ind w:left="0"/>
        <w:jc w:val="both"/>
      </w:pPr>
      <w:r>
        <w:rPr>
          <w:rFonts w:ascii="Times New Roman"/>
          <w:b w:val="false"/>
          <w:i w:val="false"/>
          <w:color w:val="000000"/>
          <w:sz w:val="28"/>
        </w:rPr>
        <w:t>
      6) the central state body that regulates activities in the field of accounting and financial reporting shall provide information on business entities from the depository of financial statements of public interest organizations:</w:t>
      </w:r>
    </w:p>
    <w:bookmarkEnd w:id="208"/>
    <w:bookmarkStart w:name="z212" w:id="209"/>
    <w:p>
      <w:pPr>
        <w:spacing w:after="0"/>
        <w:ind w:left="0"/>
        <w:jc w:val="both"/>
      </w:pPr>
      <w:r>
        <w:rPr>
          <w:rFonts w:ascii="Times New Roman"/>
          <w:b w:val="false"/>
          <w:i w:val="false"/>
          <w:color w:val="000000"/>
          <w:sz w:val="28"/>
        </w:rPr>
        <w:t>
      taxpayer registration number (hereinafter referred to as TRN) and BIN/IIN;</w:t>
      </w:r>
    </w:p>
    <w:bookmarkEnd w:id="209"/>
    <w:bookmarkStart w:name="z213" w:id="210"/>
    <w:p>
      <w:pPr>
        <w:spacing w:after="0"/>
        <w:ind w:left="0"/>
        <w:jc w:val="both"/>
      </w:pPr>
      <w:r>
        <w:rPr>
          <w:rFonts w:ascii="Times New Roman"/>
          <w:b w:val="false"/>
          <w:i w:val="false"/>
          <w:color w:val="000000"/>
          <w:sz w:val="28"/>
        </w:rPr>
        <w:t>
      date of state registration;</w:t>
      </w:r>
    </w:p>
    <w:bookmarkEnd w:id="210"/>
    <w:bookmarkStart w:name="z214" w:id="211"/>
    <w:p>
      <w:pPr>
        <w:spacing w:after="0"/>
        <w:ind w:left="0"/>
        <w:jc w:val="both"/>
      </w:pPr>
      <w:r>
        <w:rPr>
          <w:rFonts w:ascii="Times New Roman"/>
          <w:b w:val="false"/>
          <w:i w:val="false"/>
          <w:color w:val="000000"/>
          <w:sz w:val="28"/>
        </w:rPr>
        <w:t>
      basic indicators;</w:t>
      </w:r>
    </w:p>
    <w:bookmarkEnd w:id="211"/>
    <w:bookmarkStart w:name="z215" w:id="212"/>
    <w:p>
      <w:pPr>
        <w:spacing w:after="0"/>
        <w:ind w:left="0"/>
        <w:jc w:val="both"/>
      </w:pPr>
      <w:r>
        <w:rPr>
          <w:rFonts w:ascii="Times New Roman"/>
          <w:b w:val="false"/>
          <w:i w:val="false"/>
          <w:color w:val="000000"/>
          <w:sz w:val="28"/>
        </w:rPr>
        <w:t>
      profile;</w:t>
      </w:r>
    </w:p>
    <w:bookmarkEnd w:id="212"/>
    <w:bookmarkStart w:name="z216" w:id="213"/>
    <w:p>
      <w:pPr>
        <w:spacing w:after="0"/>
        <w:ind w:left="0"/>
        <w:jc w:val="both"/>
      </w:pPr>
      <w:r>
        <w:rPr>
          <w:rFonts w:ascii="Times New Roman"/>
          <w:b w:val="false"/>
          <w:i w:val="false"/>
          <w:color w:val="000000"/>
          <w:sz w:val="28"/>
        </w:rPr>
        <w:t>
      special data;</w:t>
      </w:r>
    </w:p>
    <w:bookmarkEnd w:id="213"/>
    <w:bookmarkStart w:name="z217" w:id="214"/>
    <w:p>
      <w:pPr>
        <w:spacing w:after="0"/>
        <w:ind w:left="0"/>
        <w:jc w:val="both"/>
      </w:pPr>
      <w:r>
        <w:rPr>
          <w:rFonts w:ascii="Times New Roman"/>
          <w:b w:val="false"/>
          <w:i w:val="false"/>
          <w:color w:val="000000"/>
          <w:sz w:val="28"/>
        </w:rPr>
        <w:t>
      executive agency;</w:t>
      </w:r>
    </w:p>
    <w:bookmarkEnd w:id="214"/>
    <w:bookmarkStart w:name="z218" w:id="215"/>
    <w:p>
      <w:pPr>
        <w:spacing w:after="0"/>
        <w:ind w:left="0"/>
        <w:jc w:val="both"/>
      </w:pPr>
      <w:r>
        <w:rPr>
          <w:rFonts w:ascii="Times New Roman"/>
          <w:b w:val="false"/>
          <w:i w:val="false"/>
          <w:color w:val="000000"/>
          <w:sz w:val="28"/>
        </w:rPr>
        <w:t>
      affiliates;</w:t>
      </w:r>
    </w:p>
    <w:bookmarkEnd w:id="215"/>
    <w:bookmarkStart w:name="z219" w:id="216"/>
    <w:p>
      <w:pPr>
        <w:spacing w:after="0"/>
        <w:ind w:left="0"/>
        <w:jc w:val="both"/>
      </w:pPr>
      <w:r>
        <w:rPr>
          <w:rFonts w:ascii="Times New Roman"/>
          <w:b w:val="false"/>
          <w:i w:val="false"/>
          <w:color w:val="000000"/>
          <w:sz w:val="28"/>
        </w:rPr>
        <w:t>
      licenses;</w:t>
      </w:r>
    </w:p>
    <w:bookmarkEnd w:id="216"/>
    <w:bookmarkStart w:name="z220" w:id="217"/>
    <w:p>
      <w:pPr>
        <w:spacing w:after="0"/>
        <w:ind w:left="0"/>
        <w:jc w:val="both"/>
      </w:pPr>
      <w:r>
        <w:rPr>
          <w:rFonts w:ascii="Times New Roman"/>
          <w:b w:val="false"/>
          <w:i w:val="false"/>
          <w:color w:val="000000"/>
          <w:sz w:val="28"/>
        </w:rPr>
        <w:t>
      board of directors;</w:t>
      </w:r>
    </w:p>
    <w:bookmarkEnd w:id="217"/>
    <w:bookmarkStart w:name="z221" w:id="218"/>
    <w:p>
      <w:pPr>
        <w:spacing w:after="0"/>
        <w:ind w:left="0"/>
        <w:jc w:val="both"/>
      </w:pPr>
      <w:r>
        <w:rPr>
          <w:rFonts w:ascii="Times New Roman"/>
          <w:b w:val="false"/>
          <w:i w:val="false"/>
          <w:color w:val="000000"/>
          <w:sz w:val="28"/>
        </w:rPr>
        <w:t>
      information about the founders;</w:t>
      </w:r>
    </w:p>
    <w:bookmarkEnd w:id="218"/>
    <w:bookmarkStart w:name="z222" w:id="219"/>
    <w:p>
      <w:pPr>
        <w:spacing w:after="0"/>
        <w:ind w:left="0"/>
        <w:jc w:val="both"/>
      </w:pPr>
      <w:r>
        <w:rPr>
          <w:rFonts w:ascii="Times New Roman"/>
          <w:b w:val="false"/>
          <w:i w:val="false"/>
          <w:color w:val="000000"/>
          <w:sz w:val="28"/>
        </w:rPr>
        <w:t>
      financial statements in the forms established by regulatory legal acts for organizations of public interest;</w:t>
      </w:r>
    </w:p>
    <w:bookmarkEnd w:id="219"/>
    <w:bookmarkStart w:name="z223" w:id="220"/>
    <w:p>
      <w:pPr>
        <w:spacing w:after="0"/>
        <w:ind w:left="0"/>
        <w:jc w:val="both"/>
      </w:pPr>
      <w:r>
        <w:rPr>
          <w:rFonts w:ascii="Times New Roman"/>
          <w:b w:val="false"/>
          <w:i w:val="false"/>
          <w:color w:val="000000"/>
          <w:sz w:val="28"/>
        </w:rPr>
        <w:t>
      financial analysis of the enterprise according to the submitted report (express analysis of financial and economic activities, performed based on information included in the financial reporting depository);</w:t>
      </w:r>
    </w:p>
    <w:bookmarkEnd w:id="220"/>
    <w:bookmarkStart w:name="z224" w:id="221"/>
    <w:p>
      <w:pPr>
        <w:spacing w:after="0"/>
        <w:ind w:left="0"/>
        <w:jc w:val="both"/>
      </w:pPr>
      <w:r>
        <w:rPr>
          <w:rFonts w:ascii="Times New Roman"/>
          <w:b w:val="false"/>
          <w:i w:val="false"/>
          <w:color w:val="000000"/>
          <w:sz w:val="28"/>
        </w:rPr>
        <w:t>
      audit reports;</w:t>
      </w:r>
    </w:p>
    <w:bookmarkEnd w:id="221"/>
    <w:bookmarkStart w:name="z225" w:id="222"/>
    <w:p>
      <w:pPr>
        <w:spacing w:after="0"/>
        <w:ind w:left="0"/>
        <w:jc w:val="both"/>
      </w:pPr>
      <w:r>
        <w:rPr>
          <w:rFonts w:ascii="Times New Roman"/>
          <w:b w:val="false"/>
          <w:i w:val="false"/>
          <w:color w:val="000000"/>
          <w:sz w:val="28"/>
        </w:rPr>
        <w:t>
      decisions of governing bodies;</w:t>
      </w:r>
    </w:p>
    <w:bookmarkEnd w:id="222"/>
    <w:bookmarkStart w:name="z226" w:id="223"/>
    <w:p>
      <w:pPr>
        <w:spacing w:after="0"/>
        <w:ind w:left="0"/>
        <w:jc w:val="both"/>
      </w:pPr>
      <w:r>
        <w:rPr>
          <w:rFonts w:ascii="Times New Roman"/>
          <w:b w:val="false"/>
          <w:i w:val="false"/>
          <w:color w:val="000000"/>
          <w:sz w:val="28"/>
        </w:rPr>
        <w:t>
      founding documents;</w:t>
      </w:r>
    </w:p>
    <w:bookmarkEnd w:id="223"/>
    <w:bookmarkStart w:name="z227" w:id="224"/>
    <w:p>
      <w:pPr>
        <w:spacing w:after="0"/>
        <w:ind w:left="0"/>
        <w:jc w:val="both"/>
      </w:pPr>
      <w:r>
        <w:rPr>
          <w:rFonts w:ascii="Times New Roman"/>
          <w:b w:val="false"/>
          <w:i w:val="false"/>
          <w:color w:val="000000"/>
          <w:sz w:val="28"/>
        </w:rPr>
        <w:t>
      promotional information;</w:t>
      </w:r>
    </w:p>
    <w:bookmarkEnd w:id="224"/>
    <w:bookmarkStart w:name="z228" w:id="225"/>
    <w:p>
      <w:pPr>
        <w:spacing w:after="0"/>
        <w:ind w:left="0"/>
        <w:jc w:val="both"/>
      </w:pPr>
      <w:r>
        <w:rPr>
          <w:rFonts w:ascii="Times New Roman"/>
          <w:b w:val="false"/>
          <w:i w:val="false"/>
          <w:color w:val="000000"/>
          <w:sz w:val="28"/>
        </w:rPr>
        <w:t>
      7) the authorized body for the formation of legal statistics and the maintenance of special records provides information on the search for persons concerning business entities (founder/head);</w:t>
      </w:r>
    </w:p>
    <w:bookmarkEnd w:id="225"/>
    <w:bookmarkStart w:name="z229" w:id="226"/>
    <w:p>
      <w:pPr>
        <w:spacing w:after="0"/>
        <w:ind w:left="0"/>
        <w:jc w:val="both"/>
      </w:pPr>
      <w:r>
        <w:rPr>
          <w:rFonts w:ascii="Times New Roman"/>
          <w:b w:val="false"/>
          <w:i w:val="false"/>
          <w:color w:val="000000"/>
          <w:sz w:val="28"/>
        </w:rPr>
        <w:t>
      without the transfer of personal data, the calculated preliminary indexes shall be transmitted according to information about:</w:t>
      </w:r>
    </w:p>
    <w:bookmarkEnd w:id="226"/>
    <w:bookmarkStart w:name="z230" w:id="227"/>
    <w:p>
      <w:pPr>
        <w:spacing w:after="0"/>
        <w:ind w:left="0"/>
        <w:jc w:val="both"/>
      </w:pPr>
      <w:r>
        <w:rPr>
          <w:rFonts w:ascii="Times New Roman"/>
          <w:b w:val="false"/>
          <w:i w:val="false"/>
          <w:color w:val="000000"/>
          <w:sz w:val="28"/>
        </w:rPr>
        <w:t>
      inspections of business entities;</w:t>
      </w:r>
    </w:p>
    <w:bookmarkEnd w:id="227"/>
    <w:bookmarkStart w:name="z231" w:id="228"/>
    <w:p>
      <w:pPr>
        <w:spacing w:after="0"/>
        <w:ind w:left="0"/>
        <w:jc w:val="both"/>
      </w:pPr>
      <w:r>
        <w:rPr>
          <w:rFonts w:ascii="Times New Roman"/>
          <w:b w:val="false"/>
          <w:i w:val="false"/>
          <w:color w:val="000000"/>
          <w:sz w:val="28"/>
        </w:rPr>
        <w:t>
      bringing business entities to administrative and criminal liability.</w:t>
      </w:r>
    </w:p>
    <w:bookmarkEnd w:id="228"/>
    <w:bookmarkStart w:name="z232" w:id="229"/>
    <w:p>
      <w:pPr>
        <w:spacing w:after="0"/>
        <w:ind w:left="0"/>
        <w:jc w:val="both"/>
      </w:pPr>
      <w:r>
        <w:rPr>
          <w:rFonts w:ascii="Times New Roman"/>
          <w:b w:val="false"/>
          <w:i w:val="false"/>
          <w:color w:val="000000"/>
          <w:sz w:val="28"/>
        </w:rPr>
        <w:t>
      When calculating preliminary indexes according to paragraphs 14, 15, 16, 17, 18, 19, 20 and 21 of these Rules, the authorized body for the formation of legal statistics and the maintenance of special records shall use the information for the last three years;</w:t>
      </w:r>
    </w:p>
    <w:bookmarkEnd w:id="229"/>
    <w:bookmarkStart w:name="z233" w:id="230"/>
    <w:p>
      <w:pPr>
        <w:spacing w:after="0"/>
        <w:ind w:left="0"/>
        <w:jc w:val="both"/>
      </w:pPr>
      <w:r>
        <w:rPr>
          <w:rFonts w:ascii="Times New Roman"/>
          <w:b w:val="false"/>
          <w:i w:val="false"/>
          <w:color w:val="000000"/>
          <w:sz w:val="28"/>
        </w:rPr>
        <w:t>
      8) The Supreme Court of the Republic of Kazakhstan shall provide information on civil cases:</w:t>
      </w:r>
    </w:p>
    <w:bookmarkEnd w:id="230"/>
    <w:bookmarkStart w:name="z234" w:id="231"/>
    <w:p>
      <w:pPr>
        <w:spacing w:after="0"/>
        <w:ind w:left="0"/>
        <w:jc w:val="both"/>
      </w:pPr>
      <w:r>
        <w:rPr>
          <w:rFonts w:ascii="Times New Roman"/>
          <w:b w:val="false"/>
          <w:i w:val="false"/>
          <w:color w:val="000000"/>
          <w:sz w:val="28"/>
        </w:rPr>
        <w:t>
      instance;</w:t>
      </w:r>
    </w:p>
    <w:bookmarkEnd w:id="231"/>
    <w:bookmarkStart w:name="z235" w:id="232"/>
    <w:p>
      <w:pPr>
        <w:spacing w:after="0"/>
        <w:ind w:left="0"/>
        <w:jc w:val="both"/>
      </w:pPr>
      <w:r>
        <w:rPr>
          <w:rFonts w:ascii="Times New Roman"/>
          <w:b w:val="false"/>
          <w:i w:val="false"/>
          <w:color w:val="000000"/>
          <w:sz w:val="28"/>
        </w:rPr>
        <w:t>
      region;</w:t>
      </w:r>
    </w:p>
    <w:bookmarkEnd w:id="232"/>
    <w:bookmarkStart w:name="z236" w:id="233"/>
    <w:p>
      <w:pPr>
        <w:spacing w:after="0"/>
        <w:ind w:left="0"/>
        <w:jc w:val="both"/>
      </w:pPr>
      <w:r>
        <w:rPr>
          <w:rFonts w:ascii="Times New Roman"/>
          <w:b w:val="false"/>
          <w:i w:val="false"/>
          <w:color w:val="000000"/>
          <w:sz w:val="28"/>
        </w:rPr>
        <w:t>
      court;</w:t>
      </w:r>
    </w:p>
    <w:bookmarkEnd w:id="233"/>
    <w:bookmarkStart w:name="z237" w:id="234"/>
    <w:p>
      <w:pPr>
        <w:spacing w:after="0"/>
        <w:ind w:left="0"/>
        <w:jc w:val="both"/>
      </w:pPr>
      <w:r>
        <w:rPr>
          <w:rFonts w:ascii="Times New Roman"/>
          <w:b w:val="false"/>
          <w:i w:val="false"/>
          <w:color w:val="000000"/>
          <w:sz w:val="28"/>
        </w:rPr>
        <w:t>
      type of production;</w:t>
      </w:r>
    </w:p>
    <w:bookmarkEnd w:id="234"/>
    <w:bookmarkStart w:name="z238" w:id="235"/>
    <w:p>
      <w:pPr>
        <w:spacing w:after="0"/>
        <w:ind w:left="0"/>
        <w:jc w:val="both"/>
      </w:pPr>
      <w:r>
        <w:rPr>
          <w:rFonts w:ascii="Times New Roman"/>
          <w:b w:val="false"/>
          <w:i w:val="false"/>
          <w:color w:val="000000"/>
          <w:sz w:val="28"/>
        </w:rPr>
        <w:t>
      case number;</w:t>
      </w:r>
    </w:p>
    <w:bookmarkEnd w:id="235"/>
    <w:bookmarkStart w:name="z239" w:id="236"/>
    <w:p>
      <w:pPr>
        <w:spacing w:after="0"/>
        <w:ind w:left="0"/>
        <w:jc w:val="both"/>
      </w:pPr>
      <w:r>
        <w:rPr>
          <w:rFonts w:ascii="Times New Roman"/>
          <w:b w:val="false"/>
          <w:i w:val="false"/>
          <w:color w:val="000000"/>
          <w:sz w:val="28"/>
        </w:rPr>
        <w:t>
      date of the judicial act;</w:t>
      </w:r>
    </w:p>
    <w:bookmarkEnd w:id="236"/>
    <w:bookmarkStart w:name="z240" w:id="237"/>
    <w:p>
      <w:pPr>
        <w:spacing w:after="0"/>
        <w:ind w:left="0"/>
        <w:jc w:val="both"/>
      </w:pPr>
      <w:r>
        <w:rPr>
          <w:rFonts w:ascii="Times New Roman"/>
          <w:b w:val="false"/>
          <w:i w:val="false"/>
          <w:color w:val="000000"/>
          <w:sz w:val="28"/>
        </w:rPr>
        <w:t>
      type of judicial act;</w:t>
      </w:r>
    </w:p>
    <w:bookmarkEnd w:id="237"/>
    <w:bookmarkStart w:name="z241" w:id="238"/>
    <w:p>
      <w:pPr>
        <w:spacing w:after="0"/>
        <w:ind w:left="0"/>
        <w:jc w:val="both"/>
      </w:pPr>
      <w:r>
        <w:rPr>
          <w:rFonts w:ascii="Times New Roman"/>
          <w:b w:val="false"/>
          <w:i w:val="false"/>
          <w:color w:val="000000"/>
          <w:sz w:val="28"/>
        </w:rPr>
        <w:t>
      the text of the judicial act;</w:t>
      </w:r>
    </w:p>
    <w:bookmarkEnd w:id="238"/>
    <w:bookmarkStart w:name="z242" w:id="239"/>
    <w:p>
      <w:pPr>
        <w:spacing w:after="0"/>
        <w:ind w:left="0"/>
        <w:jc w:val="both"/>
      </w:pPr>
      <w:r>
        <w:rPr>
          <w:rFonts w:ascii="Times New Roman"/>
          <w:b w:val="false"/>
          <w:i w:val="false"/>
          <w:color w:val="000000"/>
          <w:sz w:val="28"/>
        </w:rPr>
        <w:t>
      9) the authorized body for the formation of information about vehicles and their ownership shall provide information on registered vehicles of car owners at the request of BIN/IIN of business entities;</w:t>
      </w:r>
    </w:p>
    <w:bookmarkEnd w:id="239"/>
    <w:bookmarkStart w:name="z243" w:id="240"/>
    <w:p>
      <w:pPr>
        <w:spacing w:after="0"/>
        <w:ind w:left="0"/>
        <w:jc w:val="both"/>
      </w:pPr>
      <w:r>
        <w:rPr>
          <w:rFonts w:ascii="Times New Roman"/>
          <w:b w:val="false"/>
          <w:i w:val="false"/>
          <w:color w:val="000000"/>
          <w:sz w:val="28"/>
        </w:rPr>
        <w:t>
      10) entities of natural monopolies (hereinafter referred to as ENM), to form a register of business partners, shall provide information on the facts of non-payment for a period of more than one month of payments for utility services of legal entities, individual entrepreneurs with monthly updating of the information that they send to the NCE.</w:t>
      </w:r>
    </w:p>
    <w:bookmarkEnd w:id="240"/>
    <w:bookmarkStart w:name="z244" w:id="241"/>
    <w:p>
      <w:pPr>
        <w:spacing w:after="0"/>
        <w:ind w:left="0"/>
        <w:jc w:val="both"/>
      </w:pPr>
      <w:r>
        <w:rPr>
          <w:rFonts w:ascii="Times New Roman"/>
          <w:b w:val="false"/>
          <w:i w:val="false"/>
          <w:color w:val="000000"/>
          <w:sz w:val="28"/>
        </w:rPr>
        <w:t>
      ENM shall provide data every month, no later than the 30th day of the month following the reporting month, and the NCE shall place the submitted data in the business partners register;</w:t>
      </w:r>
    </w:p>
    <w:bookmarkEnd w:id="241"/>
    <w:bookmarkStart w:name="z245" w:id="242"/>
    <w:p>
      <w:pPr>
        <w:spacing w:after="0"/>
        <w:ind w:left="0"/>
        <w:jc w:val="both"/>
      </w:pPr>
      <w:r>
        <w:rPr>
          <w:rFonts w:ascii="Times New Roman"/>
          <w:b w:val="false"/>
          <w:i w:val="false"/>
          <w:color w:val="000000"/>
          <w:sz w:val="28"/>
        </w:rPr>
        <w:t>
      11) the authorized body that carries out state regulation and control of activities in the field of state registration of rights to real estate and state technical inspection of real estate shall provide the following information:</w:t>
      </w:r>
    </w:p>
    <w:bookmarkEnd w:id="242"/>
    <w:bookmarkStart w:name="z246" w:id="243"/>
    <w:p>
      <w:pPr>
        <w:spacing w:after="0"/>
        <w:ind w:left="0"/>
        <w:jc w:val="both"/>
      </w:pPr>
      <w:r>
        <w:rPr>
          <w:rFonts w:ascii="Times New Roman"/>
          <w:b w:val="false"/>
          <w:i w:val="false"/>
          <w:color w:val="000000"/>
          <w:sz w:val="28"/>
        </w:rPr>
        <w:t>
      IIN of the right holder;</w:t>
      </w:r>
    </w:p>
    <w:bookmarkEnd w:id="243"/>
    <w:bookmarkStart w:name="z247" w:id="244"/>
    <w:p>
      <w:pPr>
        <w:spacing w:after="0"/>
        <w:ind w:left="0"/>
        <w:jc w:val="both"/>
      </w:pPr>
      <w:r>
        <w:rPr>
          <w:rFonts w:ascii="Times New Roman"/>
          <w:b w:val="false"/>
          <w:i w:val="false"/>
          <w:color w:val="000000"/>
          <w:sz w:val="28"/>
        </w:rPr>
        <w:t>
      BIN of the right holder (company);</w:t>
      </w:r>
    </w:p>
    <w:bookmarkEnd w:id="244"/>
    <w:bookmarkStart w:name="z248" w:id="245"/>
    <w:p>
      <w:pPr>
        <w:spacing w:after="0"/>
        <w:ind w:left="0"/>
        <w:jc w:val="both"/>
      </w:pPr>
      <w:r>
        <w:rPr>
          <w:rFonts w:ascii="Times New Roman"/>
          <w:b w:val="false"/>
          <w:i w:val="false"/>
          <w:color w:val="000000"/>
          <w:sz w:val="28"/>
        </w:rPr>
        <w:t>
      full name of the copyright holder (company);</w:t>
      </w:r>
    </w:p>
    <w:bookmarkEnd w:id="245"/>
    <w:bookmarkStart w:name="z249" w:id="246"/>
    <w:p>
      <w:pPr>
        <w:spacing w:after="0"/>
        <w:ind w:left="0"/>
        <w:jc w:val="both"/>
      </w:pPr>
      <w:r>
        <w:rPr>
          <w:rFonts w:ascii="Times New Roman"/>
          <w:b w:val="false"/>
          <w:i w:val="false"/>
          <w:color w:val="000000"/>
          <w:sz w:val="28"/>
        </w:rPr>
        <w:t>
      indication of residential/non-residential stock;</w:t>
      </w:r>
    </w:p>
    <w:bookmarkEnd w:id="246"/>
    <w:bookmarkStart w:name="z250" w:id="247"/>
    <w:p>
      <w:pPr>
        <w:spacing w:after="0"/>
        <w:ind w:left="0"/>
        <w:jc w:val="both"/>
      </w:pPr>
      <w:r>
        <w:rPr>
          <w:rFonts w:ascii="Times New Roman"/>
          <w:b w:val="false"/>
          <w:i w:val="false"/>
          <w:color w:val="000000"/>
          <w:sz w:val="28"/>
        </w:rPr>
        <w:t>
      year of commissioning of the facility;</w:t>
      </w:r>
    </w:p>
    <w:bookmarkEnd w:id="247"/>
    <w:bookmarkStart w:name="z251" w:id="248"/>
    <w:p>
      <w:pPr>
        <w:spacing w:after="0"/>
        <w:ind w:left="0"/>
        <w:jc w:val="both"/>
      </w:pPr>
      <w:r>
        <w:rPr>
          <w:rFonts w:ascii="Times New Roman"/>
          <w:b w:val="false"/>
          <w:i w:val="false"/>
          <w:color w:val="000000"/>
          <w:sz w:val="28"/>
        </w:rPr>
        <w:t>
      cadastral number of the object;</w:t>
      </w:r>
    </w:p>
    <w:bookmarkEnd w:id="248"/>
    <w:bookmarkStart w:name="z252" w:id="249"/>
    <w:p>
      <w:pPr>
        <w:spacing w:after="0"/>
        <w:ind w:left="0"/>
        <w:jc w:val="both"/>
      </w:pPr>
      <w:r>
        <w:rPr>
          <w:rFonts w:ascii="Times New Roman"/>
          <w:b w:val="false"/>
          <w:i w:val="false"/>
          <w:color w:val="000000"/>
          <w:sz w:val="28"/>
        </w:rPr>
        <w:t>
      cadastral number of the primary object;</w:t>
      </w:r>
    </w:p>
    <w:bookmarkEnd w:id="249"/>
    <w:bookmarkStart w:name="z253" w:id="250"/>
    <w:p>
      <w:pPr>
        <w:spacing w:after="0"/>
        <w:ind w:left="0"/>
        <w:jc w:val="both"/>
      </w:pPr>
      <w:r>
        <w:rPr>
          <w:rFonts w:ascii="Times New Roman"/>
          <w:b w:val="false"/>
          <w:i w:val="false"/>
          <w:color w:val="000000"/>
          <w:sz w:val="28"/>
        </w:rPr>
        <w:t>
      cadastral number of the land plot;</w:t>
      </w:r>
    </w:p>
    <w:bookmarkEnd w:id="250"/>
    <w:bookmarkStart w:name="z254" w:id="251"/>
    <w:p>
      <w:pPr>
        <w:spacing w:after="0"/>
        <w:ind w:left="0"/>
        <w:jc w:val="both"/>
      </w:pPr>
      <w:r>
        <w:rPr>
          <w:rFonts w:ascii="Times New Roman"/>
          <w:b w:val="false"/>
          <w:i w:val="false"/>
          <w:color w:val="000000"/>
          <w:sz w:val="28"/>
        </w:rPr>
        <w:t>
      land area;</w:t>
      </w:r>
    </w:p>
    <w:bookmarkEnd w:id="251"/>
    <w:bookmarkStart w:name="z255" w:id="252"/>
    <w:p>
      <w:pPr>
        <w:spacing w:after="0"/>
        <w:ind w:left="0"/>
        <w:jc w:val="both"/>
      </w:pPr>
      <w:r>
        <w:rPr>
          <w:rFonts w:ascii="Times New Roman"/>
          <w:b w:val="false"/>
          <w:i w:val="false"/>
          <w:color w:val="000000"/>
          <w:sz w:val="28"/>
        </w:rPr>
        <w:t>
      built-up area;</w:t>
      </w:r>
    </w:p>
    <w:bookmarkEnd w:id="252"/>
    <w:bookmarkStart w:name="z256" w:id="253"/>
    <w:p>
      <w:pPr>
        <w:spacing w:after="0"/>
        <w:ind w:left="0"/>
        <w:jc w:val="both"/>
      </w:pPr>
      <w:r>
        <w:rPr>
          <w:rFonts w:ascii="Times New Roman"/>
          <w:b w:val="false"/>
          <w:i w:val="false"/>
          <w:color w:val="000000"/>
          <w:sz w:val="28"/>
        </w:rPr>
        <w:t>
      type of real estate;</w:t>
      </w:r>
    </w:p>
    <w:bookmarkEnd w:id="253"/>
    <w:bookmarkStart w:name="z257" w:id="254"/>
    <w:p>
      <w:pPr>
        <w:spacing w:after="0"/>
        <w:ind w:left="0"/>
        <w:jc w:val="both"/>
      </w:pPr>
      <w:r>
        <w:rPr>
          <w:rFonts w:ascii="Times New Roman"/>
          <w:b w:val="false"/>
          <w:i w:val="false"/>
          <w:color w:val="000000"/>
          <w:sz w:val="28"/>
        </w:rPr>
        <w:t>
      number of storeys;</w:t>
      </w:r>
    </w:p>
    <w:bookmarkEnd w:id="254"/>
    <w:bookmarkStart w:name="z258" w:id="255"/>
    <w:p>
      <w:pPr>
        <w:spacing w:after="0"/>
        <w:ind w:left="0"/>
        <w:jc w:val="both"/>
      </w:pPr>
      <w:r>
        <w:rPr>
          <w:rFonts w:ascii="Times New Roman"/>
          <w:b w:val="false"/>
          <w:i w:val="false"/>
          <w:color w:val="000000"/>
          <w:sz w:val="28"/>
        </w:rPr>
        <w:t>
      effective area;</w:t>
      </w:r>
    </w:p>
    <w:bookmarkEnd w:id="255"/>
    <w:bookmarkStart w:name="z259" w:id="256"/>
    <w:p>
      <w:pPr>
        <w:spacing w:after="0"/>
        <w:ind w:left="0"/>
        <w:jc w:val="both"/>
      </w:pPr>
      <w:r>
        <w:rPr>
          <w:rFonts w:ascii="Times New Roman"/>
          <w:b w:val="false"/>
          <w:i w:val="false"/>
          <w:color w:val="000000"/>
          <w:sz w:val="28"/>
        </w:rPr>
        <w:t>
      the taxable value of the object (if any);</w:t>
      </w:r>
    </w:p>
    <w:bookmarkEnd w:id="256"/>
    <w:bookmarkStart w:name="z260" w:id="257"/>
    <w:p>
      <w:pPr>
        <w:spacing w:after="0"/>
        <w:ind w:left="0"/>
        <w:jc w:val="both"/>
      </w:pPr>
      <w:r>
        <w:rPr>
          <w:rFonts w:ascii="Times New Roman"/>
          <w:b w:val="false"/>
          <w:i w:val="false"/>
          <w:color w:val="000000"/>
          <w:sz w:val="28"/>
        </w:rPr>
        <w:t>
      information about the presence of encumbrances;</w:t>
      </w:r>
    </w:p>
    <w:bookmarkEnd w:id="257"/>
    <w:bookmarkStart w:name="z261" w:id="258"/>
    <w:p>
      <w:pPr>
        <w:spacing w:after="0"/>
        <w:ind w:left="0"/>
        <w:jc w:val="both"/>
      </w:pPr>
      <w:r>
        <w:rPr>
          <w:rFonts w:ascii="Times New Roman"/>
          <w:b w:val="false"/>
          <w:i w:val="false"/>
          <w:color w:val="000000"/>
          <w:sz w:val="28"/>
        </w:rPr>
        <w:t>
      information about the presence of restrictions;</w:t>
      </w:r>
    </w:p>
    <w:bookmarkEnd w:id="258"/>
    <w:bookmarkStart w:name="z262" w:id="259"/>
    <w:p>
      <w:pPr>
        <w:spacing w:after="0"/>
        <w:ind w:left="0"/>
        <w:jc w:val="both"/>
      </w:pPr>
      <w:r>
        <w:rPr>
          <w:rFonts w:ascii="Times New Roman"/>
          <w:b w:val="false"/>
          <w:i w:val="false"/>
          <w:color w:val="000000"/>
          <w:sz w:val="28"/>
        </w:rPr>
        <w:t>
      the location of the object;</w:t>
      </w:r>
    </w:p>
    <w:bookmarkEnd w:id="259"/>
    <w:bookmarkStart w:name="z263" w:id="260"/>
    <w:p>
      <w:pPr>
        <w:spacing w:after="0"/>
        <w:ind w:left="0"/>
        <w:jc w:val="both"/>
      </w:pPr>
      <w:r>
        <w:rPr>
          <w:rFonts w:ascii="Times New Roman"/>
          <w:b w:val="false"/>
          <w:i w:val="false"/>
          <w:color w:val="000000"/>
          <w:sz w:val="28"/>
        </w:rPr>
        <w:t>
      region;</w:t>
      </w:r>
    </w:p>
    <w:bookmarkEnd w:id="260"/>
    <w:bookmarkStart w:name="z264" w:id="261"/>
    <w:p>
      <w:pPr>
        <w:spacing w:after="0"/>
        <w:ind w:left="0"/>
        <w:jc w:val="both"/>
      </w:pPr>
      <w:r>
        <w:rPr>
          <w:rFonts w:ascii="Times New Roman"/>
          <w:b w:val="false"/>
          <w:i w:val="false"/>
          <w:color w:val="000000"/>
          <w:sz w:val="28"/>
        </w:rPr>
        <w:t>
      district/city;</w:t>
      </w:r>
    </w:p>
    <w:bookmarkEnd w:id="261"/>
    <w:bookmarkStart w:name="z265" w:id="262"/>
    <w:p>
      <w:pPr>
        <w:spacing w:after="0"/>
        <w:ind w:left="0"/>
        <w:jc w:val="both"/>
      </w:pPr>
      <w:r>
        <w:rPr>
          <w:rFonts w:ascii="Times New Roman"/>
          <w:b w:val="false"/>
          <w:i w:val="false"/>
          <w:color w:val="000000"/>
          <w:sz w:val="28"/>
        </w:rPr>
        <w:t>
      object address (settlement, street, house, apartment);</w:t>
      </w:r>
    </w:p>
    <w:bookmarkEnd w:id="262"/>
    <w:bookmarkStart w:name="z266" w:id="263"/>
    <w:p>
      <w:pPr>
        <w:spacing w:after="0"/>
        <w:ind w:left="0"/>
        <w:jc w:val="both"/>
      </w:pPr>
      <w:r>
        <w:rPr>
          <w:rFonts w:ascii="Times New Roman"/>
          <w:b w:val="false"/>
          <w:i w:val="false"/>
          <w:color w:val="000000"/>
          <w:sz w:val="28"/>
        </w:rPr>
        <w:t>
      purpose of the object;</w:t>
      </w:r>
    </w:p>
    <w:bookmarkEnd w:id="263"/>
    <w:bookmarkStart w:name="z267" w:id="264"/>
    <w:p>
      <w:pPr>
        <w:spacing w:after="0"/>
        <w:ind w:left="0"/>
        <w:jc w:val="both"/>
      </w:pPr>
      <w:r>
        <w:rPr>
          <w:rFonts w:ascii="Times New Roman"/>
          <w:b w:val="false"/>
          <w:i w:val="false"/>
          <w:color w:val="000000"/>
          <w:sz w:val="28"/>
        </w:rPr>
        <w:t>
      information about registered encumbrances:</w:t>
      </w:r>
    </w:p>
    <w:bookmarkEnd w:id="264"/>
    <w:bookmarkStart w:name="z268" w:id="265"/>
    <w:p>
      <w:pPr>
        <w:spacing w:after="0"/>
        <w:ind w:left="0"/>
        <w:jc w:val="both"/>
      </w:pPr>
      <w:r>
        <w:rPr>
          <w:rFonts w:ascii="Times New Roman"/>
          <w:b w:val="false"/>
          <w:i w:val="false"/>
          <w:color w:val="000000"/>
          <w:sz w:val="28"/>
        </w:rPr>
        <w:t>
      type of encumbrance;</w:t>
      </w:r>
    </w:p>
    <w:bookmarkEnd w:id="265"/>
    <w:bookmarkStart w:name="z269" w:id="266"/>
    <w:p>
      <w:pPr>
        <w:spacing w:after="0"/>
        <w:ind w:left="0"/>
        <w:jc w:val="both"/>
      </w:pPr>
      <w:r>
        <w:rPr>
          <w:rFonts w:ascii="Times New Roman"/>
          <w:b w:val="false"/>
          <w:i w:val="false"/>
          <w:color w:val="000000"/>
          <w:sz w:val="28"/>
        </w:rPr>
        <w:t>
      the content of the encumbrance;</w:t>
      </w:r>
    </w:p>
    <w:bookmarkEnd w:id="266"/>
    <w:bookmarkStart w:name="z270" w:id="267"/>
    <w:p>
      <w:pPr>
        <w:spacing w:after="0"/>
        <w:ind w:left="0"/>
        <w:jc w:val="both"/>
      </w:pPr>
      <w:r>
        <w:rPr>
          <w:rFonts w:ascii="Times New Roman"/>
          <w:b w:val="false"/>
          <w:i w:val="false"/>
          <w:color w:val="000000"/>
          <w:sz w:val="28"/>
        </w:rPr>
        <w:t>
      interested party;</w:t>
      </w:r>
    </w:p>
    <w:bookmarkEnd w:id="267"/>
    <w:bookmarkStart w:name="z271" w:id="268"/>
    <w:p>
      <w:pPr>
        <w:spacing w:after="0"/>
        <w:ind w:left="0"/>
        <w:jc w:val="both"/>
      </w:pPr>
      <w:r>
        <w:rPr>
          <w:rFonts w:ascii="Times New Roman"/>
          <w:b w:val="false"/>
          <w:i w:val="false"/>
          <w:color w:val="000000"/>
          <w:sz w:val="28"/>
        </w:rPr>
        <w:t>
      form of common ownership, share;</w:t>
      </w:r>
    </w:p>
    <w:bookmarkEnd w:id="268"/>
    <w:bookmarkStart w:name="z272" w:id="269"/>
    <w:p>
      <w:pPr>
        <w:spacing w:after="0"/>
        <w:ind w:left="0"/>
        <w:jc w:val="both"/>
      </w:pPr>
      <w:r>
        <w:rPr>
          <w:rFonts w:ascii="Times New Roman"/>
          <w:b w:val="false"/>
          <w:i w:val="false"/>
          <w:color w:val="000000"/>
          <w:sz w:val="28"/>
        </w:rPr>
        <w:t>
      transaction amount (value);</w:t>
      </w:r>
    </w:p>
    <w:bookmarkEnd w:id="269"/>
    <w:bookmarkStart w:name="z273" w:id="270"/>
    <w:p>
      <w:pPr>
        <w:spacing w:after="0"/>
        <w:ind w:left="0"/>
        <w:jc w:val="both"/>
      </w:pPr>
      <w:r>
        <w:rPr>
          <w:rFonts w:ascii="Times New Roman"/>
          <w:b w:val="false"/>
          <w:i w:val="false"/>
          <w:color w:val="000000"/>
          <w:sz w:val="28"/>
        </w:rPr>
        <w:t>
      the size of the main obligations (collateral amount);</w:t>
      </w:r>
    </w:p>
    <w:bookmarkEnd w:id="270"/>
    <w:bookmarkStart w:name="z274" w:id="271"/>
    <w:p>
      <w:pPr>
        <w:spacing w:after="0"/>
        <w:ind w:left="0"/>
        <w:jc w:val="both"/>
      </w:pPr>
      <w:r>
        <w:rPr>
          <w:rFonts w:ascii="Times New Roman"/>
          <w:b w:val="false"/>
          <w:i w:val="false"/>
          <w:color w:val="000000"/>
          <w:sz w:val="28"/>
        </w:rPr>
        <w:t>
      encumbrance period;</w:t>
      </w:r>
    </w:p>
    <w:bookmarkEnd w:id="271"/>
    <w:bookmarkStart w:name="z275" w:id="272"/>
    <w:p>
      <w:pPr>
        <w:spacing w:after="0"/>
        <w:ind w:left="0"/>
        <w:jc w:val="both"/>
      </w:pPr>
      <w:r>
        <w:rPr>
          <w:rFonts w:ascii="Times New Roman"/>
          <w:b w:val="false"/>
          <w:i w:val="false"/>
          <w:color w:val="000000"/>
          <w:sz w:val="28"/>
        </w:rPr>
        <w:t>
      date, time of registration of the encumbrance;</w:t>
      </w:r>
    </w:p>
    <w:bookmarkEnd w:id="272"/>
    <w:bookmarkStart w:name="z276" w:id="273"/>
    <w:p>
      <w:pPr>
        <w:spacing w:after="0"/>
        <w:ind w:left="0"/>
        <w:jc w:val="both"/>
      </w:pPr>
      <w:r>
        <w:rPr>
          <w:rFonts w:ascii="Times New Roman"/>
          <w:b w:val="false"/>
          <w:i w:val="false"/>
          <w:color w:val="000000"/>
          <w:sz w:val="28"/>
        </w:rPr>
        <w:t>
      grounds for encumbrance:</w:t>
      </w:r>
    </w:p>
    <w:bookmarkEnd w:id="273"/>
    <w:bookmarkStart w:name="z277" w:id="274"/>
    <w:p>
      <w:pPr>
        <w:spacing w:after="0"/>
        <w:ind w:left="0"/>
        <w:jc w:val="both"/>
      </w:pPr>
      <w:r>
        <w:rPr>
          <w:rFonts w:ascii="Times New Roman"/>
          <w:b w:val="false"/>
          <w:i w:val="false"/>
          <w:color w:val="000000"/>
          <w:sz w:val="28"/>
        </w:rPr>
        <w:t>
      type of document;</w:t>
      </w:r>
    </w:p>
    <w:bookmarkEnd w:id="274"/>
    <w:bookmarkStart w:name="z278" w:id="275"/>
    <w:p>
      <w:pPr>
        <w:spacing w:after="0"/>
        <w:ind w:left="0"/>
        <w:jc w:val="both"/>
      </w:pPr>
      <w:r>
        <w:rPr>
          <w:rFonts w:ascii="Times New Roman"/>
          <w:b w:val="false"/>
          <w:i w:val="false"/>
          <w:color w:val="000000"/>
          <w:sz w:val="28"/>
        </w:rPr>
        <w:t>
      number and date of the document;</w:t>
      </w:r>
    </w:p>
    <w:bookmarkEnd w:id="275"/>
    <w:bookmarkStart w:name="z279" w:id="276"/>
    <w:p>
      <w:pPr>
        <w:spacing w:after="0"/>
        <w:ind w:left="0"/>
        <w:jc w:val="both"/>
      </w:pPr>
      <w:r>
        <w:rPr>
          <w:rFonts w:ascii="Times New Roman"/>
          <w:b w:val="false"/>
          <w:i w:val="false"/>
          <w:color w:val="000000"/>
          <w:sz w:val="28"/>
        </w:rPr>
        <w:t>
      12) the authorized body in the field of state registration of acts of civil status, amendments, restoration, and cancellation of civil status records shall submit to the business partners register information for publication in the business partners register on the list of legal entities affiliated with the counterparty, individual entrepreneurs having an individual, consisting in a close relationship (parent, brother, sister, son, daughter), marriage, as well as property (brother, sister, parent, son or daughter of a spouse who is the owner or head of the counterparty. Therewith, details of the affiliation of legal entities and individual entrepreneurs shall not be transferred;</w:t>
      </w:r>
    </w:p>
    <w:bookmarkEnd w:id="276"/>
    <w:bookmarkStart w:name="z280" w:id="277"/>
    <w:p>
      <w:pPr>
        <w:spacing w:after="0"/>
        <w:ind w:left="0"/>
        <w:jc w:val="both"/>
      </w:pPr>
      <w:r>
        <w:rPr>
          <w:rFonts w:ascii="Times New Roman"/>
          <w:b w:val="false"/>
          <w:i w:val="false"/>
          <w:color w:val="000000"/>
          <w:sz w:val="28"/>
        </w:rPr>
        <w:t>
      13) the authorized body in the field of transport and communications shall provide the following information:</w:t>
      </w:r>
    </w:p>
    <w:bookmarkEnd w:id="277"/>
    <w:bookmarkStart w:name="z281" w:id="278"/>
    <w:p>
      <w:pPr>
        <w:spacing w:after="0"/>
        <w:ind w:left="0"/>
        <w:jc w:val="both"/>
      </w:pPr>
      <w:r>
        <w:rPr>
          <w:rFonts w:ascii="Times New Roman"/>
          <w:b w:val="false"/>
          <w:i w:val="false"/>
          <w:color w:val="000000"/>
          <w:sz w:val="28"/>
        </w:rPr>
        <w:t>
      information on the number of registered violations of transport legislation by a legal entity;</w:t>
      </w:r>
    </w:p>
    <w:bookmarkEnd w:id="278"/>
    <w:bookmarkStart w:name="z282" w:id="279"/>
    <w:p>
      <w:pPr>
        <w:spacing w:after="0"/>
        <w:ind w:left="0"/>
        <w:jc w:val="both"/>
      </w:pPr>
      <w:r>
        <w:rPr>
          <w:rFonts w:ascii="Times New Roman"/>
          <w:b w:val="false"/>
          <w:i w:val="false"/>
          <w:color w:val="000000"/>
          <w:sz w:val="28"/>
        </w:rPr>
        <w:t>
      information on the availability of a certificate and a card for admission to international transportation;</w:t>
      </w:r>
    </w:p>
    <w:bookmarkEnd w:id="279"/>
    <w:bookmarkStart w:name="z283" w:id="280"/>
    <w:p>
      <w:pPr>
        <w:spacing w:after="0"/>
        <w:ind w:left="0"/>
        <w:jc w:val="both"/>
      </w:pPr>
      <w:r>
        <w:rPr>
          <w:rFonts w:ascii="Times New Roman"/>
          <w:b w:val="false"/>
          <w:i w:val="false"/>
          <w:color w:val="000000"/>
          <w:sz w:val="28"/>
        </w:rPr>
        <w:t>
      information on the number of cards for admission to international transportation (determines the number of vehicles of a legal entity admitted to international transportation).</w:t>
      </w:r>
    </w:p>
    <w:bookmarkEnd w:id="280"/>
    <w:bookmarkStart w:name="z284" w:id="281"/>
    <w:p>
      <w:pPr>
        <w:spacing w:after="0"/>
        <w:ind w:left="0"/>
        <w:jc w:val="both"/>
      </w:pPr>
      <w:r>
        <w:rPr>
          <w:rFonts w:ascii="Times New Roman"/>
          <w:b w:val="false"/>
          <w:i w:val="false"/>
          <w:color w:val="000000"/>
          <w:sz w:val="28"/>
        </w:rPr>
        <w:t>
      25. To maintain relevance and improve the accuracy of risk forecasting, NCE periodically, at least once a year, shall refine the algorithms for calculating scoring and preliminary indexes.</w:t>
      </w:r>
    </w:p>
    <w:bookmarkEnd w:id="281"/>
    <w:bookmarkStart w:name="z285" w:id="282"/>
    <w:p>
      <w:pPr>
        <w:spacing w:after="0"/>
        <w:ind w:left="0"/>
        <w:jc w:val="both"/>
      </w:pPr>
      <w:r>
        <w:rPr>
          <w:rFonts w:ascii="Times New Roman"/>
          <w:b w:val="false"/>
          <w:i w:val="false"/>
          <w:color w:val="000000"/>
          <w:sz w:val="28"/>
        </w:rPr>
        <w:t>
      26. Refinement of algorithms for calculating scoring and preliminary indexes shall be carried out according to paragraphs 19, 20 and 21 of these Rules.</w:t>
      </w:r>
    </w:p>
    <w:bookmarkEnd w:id="282"/>
    <w:bookmarkStart w:name="z286" w:id="283"/>
    <w:p>
      <w:pPr>
        <w:spacing w:after="0"/>
        <w:ind w:left="0"/>
        <w:jc w:val="both"/>
      </w:pPr>
      <w:r>
        <w:rPr>
          <w:rFonts w:ascii="Times New Roman"/>
          <w:b w:val="false"/>
          <w:i w:val="false"/>
          <w:color w:val="000000"/>
          <w:sz w:val="28"/>
        </w:rPr>
        <w:t>
      scoring and preliminary indexes, within 10 (ten) business days from the receipt of the request, state bodies provide the NCE with a test sample in accordance with paragraphs 19, 20 and 21 of these Rules.</w:t>
      </w:r>
    </w:p>
    <w:bookmarkEnd w:id="283"/>
    <w:bookmarkStart w:name="z287" w:id="284"/>
    <w:p>
      <w:pPr>
        <w:spacing w:after="0"/>
        <w:ind w:left="0"/>
        <w:jc w:val="left"/>
      </w:pPr>
      <w:r>
        <w:rPr>
          <w:rFonts w:ascii="Times New Roman"/>
          <w:b/>
          <w:i w:val="false"/>
          <w:color w:val="000000"/>
        </w:rPr>
        <w:t xml:space="preserve"> Chapter 4. Procedure for use of the business partners register</w:t>
      </w:r>
    </w:p>
    <w:bookmarkEnd w:id="284"/>
    <w:bookmarkStart w:name="z288" w:id="285"/>
    <w:p>
      <w:pPr>
        <w:spacing w:after="0"/>
        <w:ind w:left="0"/>
        <w:jc w:val="both"/>
      </w:pPr>
      <w:r>
        <w:rPr>
          <w:rFonts w:ascii="Times New Roman"/>
          <w:b w:val="false"/>
          <w:i w:val="false"/>
          <w:color w:val="000000"/>
          <w:sz w:val="28"/>
        </w:rPr>
        <w:t>
      28. Information about a business entity shall be provided to users in the form of displaying information on the registry portal, as well as in the form of an electronic document certified by an EDS, for carrying out entrepreneurial and other activities that do not contradict the legislation of the Republic of Kazakhstan.</w:t>
      </w:r>
    </w:p>
    <w:bookmarkEnd w:id="285"/>
    <w:bookmarkStart w:name="z289" w:id="286"/>
    <w:p>
      <w:pPr>
        <w:spacing w:after="0"/>
        <w:ind w:left="0"/>
        <w:jc w:val="both"/>
      </w:pPr>
      <w:r>
        <w:rPr>
          <w:rFonts w:ascii="Times New Roman"/>
          <w:b w:val="false"/>
          <w:i w:val="false"/>
          <w:color w:val="000000"/>
          <w:sz w:val="28"/>
        </w:rPr>
        <w:t>
      29. The provision of information shall be carried out online, taking into account the speed of formation and provision of information at the source of information.</w:t>
      </w:r>
    </w:p>
    <w:bookmarkEnd w:id="286"/>
    <w:bookmarkStart w:name="z290" w:id="287"/>
    <w:p>
      <w:pPr>
        <w:spacing w:after="0"/>
        <w:ind w:left="0"/>
        <w:jc w:val="both"/>
      </w:pPr>
      <w:r>
        <w:rPr>
          <w:rFonts w:ascii="Times New Roman"/>
          <w:b w:val="false"/>
          <w:i w:val="false"/>
          <w:color w:val="000000"/>
          <w:sz w:val="28"/>
        </w:rPr>
        <w:t>
      30. Collection, processing and protection of personal data of business entities contained in the business partners register shall be carried out in accordance with the legislation of the Republic of Kazakhstan on personal data and their protection.</w:t>
      </w:r>
    </w:p>
    <w:bookmarkEnd w:id="287"/>
    <w:bookmarkStart w:name="z291" w:id="288"/>
    <w:p>
      <w:pPr>
        <w:spacing w:after="0"/>
        <w:ind w:left="0"/>
        <w:jc w:val="both"/>
      </w:pPr>
      <w:r>
        <w:rPr>
          <w:rFonts w:ascii="Times New Roman"/>
          <w:b w:val="false"/>
          <w:i w:val="false"/>
          <w:color w:val="000000"/>
          <w:sz w:val="28"/>
        </w:rPr>
        <w:t>
      31. Registration of users, search for business entities, requesting information about business entities, and providing users with information about business entities shall be carried out on the portal of the business partners register.</w:t>
      </w:r>
    </w:p>
    <w:bookmarkEnd w:id="288"/>
    <w:bookmarkStart w:name="z292" w:id="289"/>
    <w:p>
      <w:pPr>
        <w:spacing w:after="0"/>
        <w:ind w:left="0"/>
        <w:jc w:val="both"/>
      </w:pPr>
      <w:r>
        <w:rPr>
          <w:rFonts w:ascii="Times New Roman"/>
          <w:b w:val="false"/>
          <w:i w:val="false"/>
          <w:color w:val="000000"/>
          <w:sz w:val="28"/>
        </w:rPr>
        <w:t>
      32. The request for information regarding legal entities and individuals that are a business entity is subject to confirmation of its status as a business entity in the business partners register.</w:t>
      </w:r>
    </w:p>
    <w:bookmarkEnd w:id="289"/>
    <w:bookmarkStart w:name="z293" w:id="290"/>
    <w:p>
      <w:pPr>
        <w:spacing w:after="0"/>
        <w:ind w:left="0"/>
        <w:jc w:val="both"/>
      </w:pPr>
      <w:r>
        <w:rPr>
          <w:rFonts w:ascii="Times New Roman"/>
          <w:b w:val="false"/>
          <w:i w:val="false"/>
          <w:color w:val="000000"/>
          <w:sz w:val="28"/>
        </w:rPr>
        <w:t>
      The search for business entities shall be carried out on the following grounds:</w:t>
      </w:r>
    </w:p>
    <w:bookmarkEnd w:id="290"/>
    <w:bookmarkStart w:name="z294" w:id="291"/>
    <w:p>
      <w:pPr>
        <w:spacing w:after="0"/>
        <w:ind w:left="0"/>
        <w:jc w:val="both"/>
      </w:pPr>
      <w:r>
        <w:rPr>
          <w:rFonts w:ascii="Times New Roman"/>
          <w:b w:val="false"/>
          <w:i w:val="false"/>
          <w:color w:val="000000"/>
          <w:sz w:val="28"/>
        </w:rPr>
        <w:t>
      BIN or IIN;</w:t>
      </w:r>
    </w:p>
    <w:bookmarkEnd w:id="291"/>
    <w:bookmarkStart w:name="z295" w:id="292"/>
    <w:p>
      <w:pPr>
        <w:spacing w:after="0"/>
        <w:ind w:left="0"/>
        <w:jc w:val="both"/>
      </w:pPr>
      <w:r>
        <w:rPr>
          <w:rFonts w:ascii="Times New Roman"/>
          <w:b w:val="false"/>
          <w:i w:val="false"/>
          <w:color w:val="000000"/>
          <w:sz w:val="28"/>
        </w:rPr>
        <w:t>
      name and legal form of the legal entity;</w:t>
      </w:r>
    </w:p>
    <w:bookmarkEnd w:id="292"/>
    <w:bookmarkStart w:name="z296" w:id="293"/>
    <w:p>
      <w:pPr>
        <w:spacing w:after="0"/>
        <w:ind w:left="0"/>
        <w:jc w:val="both"/>
      </w:pPr>
      <w:r>
        <w:rPr>
          <w:rFonts w:ascii="Times New Roman"/>
          <w:b w:val="false"/>
          <w:i w:val="false"/>
          <w:color w:val="000000"/>
          <w:sz w:val="28"/>
        </w:rPr>
        <w:t>
      surname, name and patronymic (if any) and (or) the name of an individual entrepreneur.</w:t>
      </w:r>
    </w:p>
    <w:bookmarkEnd w:id="293"/>
    <w:bookmarkStart w:name="z297" w:id="294"/>
    <w:p>
      <w:pPr>
        <w:spacing w:after="0"/>
        <w:ind w:left="0"/>
        <w:jc w:val="both"/>
      </w:pPr>
      <w:r>
        <w:rPr>
          <w:rFonts w:ascii="Times New Roman"/>
          <w:b w:val="false"/>
          <w:i w:val="false"/>
          <w:color w:val="000000"/>
          <w:sz w:val="28"/>
        </w:rPr>
        <w:t>
      33. The user of the business partners register requests information about a business entity.</w:t>
      </w:r>
    </w:p>
    <w:bookmarkEnd w:id="294"/>
    <w:bookmarkStart w:name="z298" w:id="295"/>
    <w:p>
      <w:pPr>
        <w:spacing w:after="0"/>
        <w:ind w:left="0"/>
        <w:jc w:val="both"/>
      </w:pPr>
      <w:r>
        <w:rPr>
          <w:rFonts w:ascii="Times New Roman"/>
          <w:b w:val="false"/>
          <w:i w:val="false"/>
          <w:color w:val="000000"/>
          <w:sz w:val="28"/>
        </w:rPr>
        <w:t>
      34. The time for generating a report to the user from the information system of the business partners register shall be no more than 1 (one) hour, subject to the uninterrupted functioning of the Government Intranet, e-Gov Gateway and information systems of other participants.</w:t>
      </w:r>
    </w:p>
    <w:bookmarkEnd w:id="295"/>
    <w:bookmarkStart w:name="z299" w:id="296"/>
    <w:p>
      <w:pPr>
        <w:spacing w:after="0"/>
        <w:ind w:left="0"/>
        <w:jc w:val="both"/>
      </w:pPr>
      <w:r>
        <w:rPr>
          <w:rFonts w:ascii="Times New Roman"/>
          <w:b w:val="false"/>
          <w:i w:val="false"/>
          <w:color w:val="000000"/>
          <w:sz w:val="28"/>
        </w:rPr>
        <w:t>
      35. The business partners register shall be used:</w:t>
      </w:r>
    </w:p>
    <w:bookmarkEnd w:id="296"/>
    <w:bookmarkStart w:name="z300" w:id="297"/>
    <w:p>
      <w:pPr>
        <w:spacing w:after="0"/>
        <w:ind w:left="0"/>
        <w:jc w:val="both"/>
      </w:pPr>
      <w:r>
        <w:rPr>
          <w:rFonts w:ascii="Times New Roman"/>
          <w:b w:val="false"/>
          <w:i w:val="false"/>
          <w:color w:val="000000"/>
          <w:sz w:val="28"/>
        </w:rPr>
        <w:t>
      by users to independently assess the integrity of business entities, as well as the risks associated with cooperation with a potential counterparty;</w:t>
      </w:r>
    </w:p>
    <w:bookmarkEnd w:id="297"/>
    <w:bookmarkStart w:name="z301" w:id="298"/>
    <w:p>
      <w:pPr>
        <w:spacing w:after="0"/>
        <w:ind w:left="0"/>
        <w:jc w:val="both"/>
      </w:pPr>
      <w:r>
        <w:rPr>
          <w:rFonts w:ascii="Times New Roman"/>
          <w:b w:val="false"/>
          <w:i w:val="false"/>
          <w:color w:val="000000"/>
          <w:sz w:val="28"/>
        </w:rPr>
        <w:t>
      by state bodies and other state institutions to the extent of the information, they need to carry out their functions.</w:t>
      </w:r>
    </w:p>
    <w:bookmarkEnd w:id="298"/>
    <w:bookmarkStart w:name="z302" w:id="299"/>
    <w:p>
      <w:pPr>
        <w:spacing w:after="0"/>
        <w:ind w:left="0"/>
        <w:jc w:val="both"/>
      </w:pPr>
      <w:r>
        <w:rPr>
          <w:rFonts w:ascii="Times New Roman"/>
          <w:b w:val="false"/>
          <w:i w:val="false"/>
          <w:color w:val="000000"/>
          <w:sz w:val="28"/>
        </w:rPr>
        <w:t>
      36. The business partners register shall register each fact of verification by the user of a business entity, and provide the user with the opportunity to receive an electronic report on the fact of verification indicating the date and time of verification, reflecting the information received, reflecting the values of scoring indexes, and also provides business entities with the opportunity to obtain information about users who requested information about him/her, indicating the date and time of the request.</w:t>
      </w:r>
    </w:p>
    <w:bookmarkEnd w:id="299"/>
    <w:bookmarkStart w:name="z303" w:id="300"/>
    <w:p>
      <w:pPr>
        <w:spacing w:after="0"/>
        <w:ind w:left="0"/>
        <w:jc w:val="both"/>
      </w:pPr>
      <w:r>
        <w:rPr>
          <w:rFonts w:ascii="Times New Roman"/>
          <w:b w:val="false"/>
          <w:i w:val="false"/>
          <w:color w:val="000000"/>
          <w:sz w:val="28"/>
        </w:rPr>
        <w:t>
      37. To check a potential counterparty, information on state registration, types of activities carried out, presence/absence in the registers of state bodies, amounts of taxes paid and tax debts, information on licenses, permits to engage in certain types of activities, the value of the taxpayer's integrity index shall be provided to entrepreneurs on the portal register of business partners free of charge.</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