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1879" w14:textId="f151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Anti-Corruption Monitoring Rules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13 of the Chairman of the Agency for Civil Service Affairs and Anti-Corruption of the Republic of Kazakhstan as of October 19, 2016. Registered with the Ministry of Justice of the Republic of Kazakhstan on November 16, 2016, No. 14431. It became invalid by Order No. 22 of the Chairman of the Agency of the Republic of Kazakhstan for Combating Corruption (Anti-Corruption Service) dated January 28, 2020.</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Became invalid by the order of the Chairman of the Anti-Corruption Agency of the Republic of Kazakhstan (Anti-Corruption Service) dated 28.01.2020 No. 22 (effective from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3) of paragraph 1 of Article 21 of the Law of the Republic of Kazakhstan “On Combating Corruption” as of November 18, 2015, I hereby ORDER: </w:t>
      </w:r>
    </w:p>
    <w:bookmarkStart w:name="z3" w:id="1"/>
    <w:p>
      <w:pPr>
        <w:spacing w:after="0"/>
        <w:ind w:left="0"/>
        <w:jc w:val="both"/>
      </w:pPr>
      <w:r>
        <w:rPr>
          <w:rFonts w:ascii="Times New Roman"/>
          <w:b w:val="false"/>
          <w:i w:val="false"/>
          <w:color w:val="000000"/>
          <w:sz w:val="28"/>
        </w:rPr>
        <w:t>
      1. To approve the appended Anti-Corruption Monitoring Rules.</w:t>
      </w:r>
    </w:p>
    <w:bookmarkEnd w:id="1"/>
    <w:bookmarkStart w:name="z4" w:id="2"/>
    <w:p>
      <w:pPr>
        <w:spacing w:after="0"/>
        <w:ind w:left="0"/>
        <w:jc w:val="both"/>
      </w:pPr>
      <w:r>
        <w:rPr>
          <w:rFonts w:ascii="Times New Roman"/>
          <w:b w:val="false"/>
          <w:i w:val="false"/>
          <w:color w:val="000000"/>
          <w:sz w:val="28"/>
        </w:rPr>
        <w:t xml:space="preserve">
      2. To invalidate Order No. 16 of the Minister of Civil Service of the Republic of Kazakhstan as of December 29, 2015 “On approval of the Anti-Corruption Monitoring Rules” (registered in the State Registration Register of Regulatory Legal Acts under No. 12712, published in the “Adilet” Legal Information System on January 15, 2016). </w:t>
      </w:r>
    </w:p>
    <w:bookmarkEnd w:id="2"/>
    <w:bookmarkStart w:name="z5" w:id="3"/>
    <w:p>
      <w:pPr>
        <w:spacing w:after="0"/>
        <w:ind w:left="0"/>
        <w:jc w:val="both"/>
      </w:pPr>
      <w:r>
        <w:rPr>
          <w:rFonts w:ascii="Times New Roman"/>
          <w:b w:val="false"/>
          <w:i w:val="false"/>
          <w:color w:val="000000"/>
          <w:sz w:val="28"/>
        </w:rPr>
        <w:t xml:space="preserve">
      3. In the manner prescribed by law, the Department of Anti-Corruption Policy of the Agency for Civil Service Affairs and Anti-Corruption of the Republic of Kazakhstan shall: </w:t>
      </w:r>
    </w:p>
    <w:bookmarkEnd w:id="3"/>
    <w:bookmarkStart w:name="z6" w:id="4"/>
    <w:p>
      <w:pPr>
        <w:spacing w:after="0"/>
        <w:ind w:left="0"/>
        <w:jc w:val="both"/>
      </w:pPr>
      <w:r>
        <w:rPr>
          <w:rFonts w:ascii="Times New Roman"/>
          <w:b w:val="false"/>
          <w:i w:val="false"/>
          <w:color w:val="000000"/>
          <w:sz w:val="28"/>
        </w:rPr>
        <w:t xml:space="preserve">
      1) ensure state registration of this order with the Ministry of Justice of the Republic of Kazakhstan; </w:t>
      </w:r>
    </w:p>
    <w:bookmarkEnd w:id="4"/>
    <w:bookmarkStart w:name="z7" w:id="5"/>
    <w:p>
      <w:pPr>
        <w:spacing w:after="0"/>
        <w:ind w:left="0"/>
        <w:jc w:val="both"/>
      </w:pPr>
      <w:r>
        <w:rPr>
          <w:rFonts w:ascii="Times New Roman"/>
          <w:b w:val="false"/>
          <w:i w:val="false"/>
          <w:color w:val="000000"/>
          <w:sz w:val="28"/>
        </w:rPr>
        <w:t>
      2) within ten calendar days of the state registration of this order with the Ministry of Justice of the Republic of Kazakhstan, send it to the “Adilet” Legal Information System for official publication;</w:t>
      </w:r>
    </w:p>
    <w:bookmarkEnd w:id="5"/>
    <w:bookmarkStart w:name="z8" w:id="6"/>
    <w:p>
      <w:pPr>
        <w:spacing w:after="0"/>
        <w:ind w:left="0"/>
        <w:jc w:val="both"/>
      </w:pPr>
      <w:r>
        <w:rPr>
          <w:rFonts w:ascii="Times New Roman"/>
          <w:b w:val="false"/>
          <w:i w:val="false"/>
          <w:color w:val="000000"/>
          <w:sz w:val="28"/>
        </w:rPr>
        <w:t xml:space="preserve">
      3) within ten calendar days of the state registration of this order, send it to the Republican State Enterprise with the Right of Economic Management “Republican Center of Legal Information” of the Ministry of Justice of the Republic of Kazakhstan for its inclusion into the Reference Control Bank of Regulatory Legal Acts of the Republic of Kazakhstan; </w:t>
      </w:r>
    </w:p>
    <w:bookmarkEnd w:id="6"/>
    <w:bookmarkStart w:name="z9" w:id="7"/>
    <w:p>
      <w:pPr>
        <w:spacing w:after="0"/>
        <w:ind w:left="0"/>
        <w:jc w:val="both"/>
      </w:pPr>
      <w:r>
        <w:rPr>
          <w:rFonts w:ascii="Times New Roman"/>
          <w:b w:val="false"/>
          <w:i w:val="false"/>
          <w:color w:val="000000"/>
          <w:sz w:val="28"/>
        </w:rPr>
        <w:t>
      4) place this order on the website of the Agency for Civil Service Affairs and Anti-Corruption of the Republic of Kazakhstan.</w:t>
      </w:r>
    </w:p>
    <w:bookmarkEnd w:id="7"/>
    <w:bookmarkStart w:name="z10" w:id="8"/>
    <w:p>
      <w:pPr>
        <w:spacing w:after="0"/>
        <w:ind w:left="0"/>
        <w:jc w:val="both"/>
      </w:pPr>
      <w:r>
        <w:rPr>
          <w:rFonts w:ascii="Times New Roman"/>
          <w:b w:val="false"/>
          <w:i w:val="false"/>
          <w:color w:val="000000"/>
          <w:sz w:val="28"/>
        </w:rPr>
        <w:t xml:space="preserve">
      4. Control over execution of this order shall be entrusted to the Deputy Chairman of the Agency for Civil Service Affairs and Anti-Corruption of the Republic of Kazakhstan, who supervises anti-corruption issues. </w:t>
      </w:r>
    </w:p>
    <w:bookmarkEnd w:id="8"/>
    <w:bookmarkStart w:name="z11" w:id="9"/>
    <w:p>
      <w:pPr>
        <w:spacing w:after="0"/>
        <w:ind w:left="0"/>
        <w:jc w:val="both"/>
      </w:pPr>
      <w:r>
        <w:rPr>
          <w:rFonts w:ascii="Times New Roman"/>
          <w:b w:val="false"/>
          <w:i w:val="false"/>
          <w:color w:val="000000"/>
          <w:sz w:val="28"/>
        </w:rPr>
        <w:t xml:space="preserve">
      5. This order shall take effect on the day of its first official publication.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Agency</w:t>
            </w:r>
          </w:p>
          <w:p>
            <w:pPr>
              <w:spacing w:after="20"/>
              <w:ind w:left="20"/>
              <w:jc w:val="both"/>
            </w:pPr>
          </w:p>
          <w:p>
            <w:pPr>
              <w:spacing w:after="20"/>
              <w:ind w:left="20"/>
              <w:jc w:val="both"/>
            </w:pPr>
            <w:r>
              <w:rPr>
                <w:rFonts w:ascii="Times New Roman"/>
                <w:b w:val="false"/>
                <w:i/>
                <w:color w:val="000000"/>
                <w:sz w:val="20"/>
              </w:rPr>
              <w:t>for Civil Service and Anti-Corruption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K.Kozhamzharov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 13 of the </w:t>
            </w:r>
            <w:r>
              <w:br/>
            </w:r>
            <w:r>
              <w:rPr>
                <w:rFonts w:ascii="Times New Roman"/>
                <w:b w:val="false"/>
                <w:i w:val="false"/>
                <w:color w:val="000000"/>
                <w:sz w:val="20"/>
              </w:rPr>
              <w:t xml:space="preserve">Chairman of the Agency for Civil </w:t>
            </w:r>
            <w:r>
              <w:br/>
            </w:r>
            <w:r>
              <w:rPr>
                <w:rFonts w:ascii="Times New Roman"/>
                <w:b w:val="false"/>
                <w:i w:val="false"/>
                <w:color w:val="000000"/>
                <w:sz w:val="20"/>
              </w:rPr>
              <w:t xml:space="preserve">Service Affairs and </w:t>
            </w:r>
            <w:r>
              <w:br/>
            </w:r>
            <w:r>
              <w:rPr>
                <w:rFonts w:ascii="Times New Roman"/>
                <w:b w:val="false"/>
                <w:i w:val="false"/>
                <w:color w:val="000000"/>
                <w:sz w:val="20"/>
              </w:rPr>
              <w:t xml:space="preserve">Anti-Corruption </w:t>
            </w:r>
            <w:r>
              <w:br/>
            </w:r>
            <w:r>
              <w:rPr>
                <w:rFonts w:ascii="Times New Roman"/>
                <w:b w:val="false"/>
                <w:i w:val="false"/>
                <w:color w:val="000000"/>
                <w:sz w:val="20"/>
              </w:rPr>
              <w:t xml:space="preserve">of the Republic of Kazakhstan as </w:t>
            </w:r>
            <w:r>
              <w:br/>
            </w:r>
            <w:r>
              <w:rPr>
                <w:rFonts w:ascii="Times New Roman"/>
                <w:b w:val="false"/>
                <w:i w:val="false"/>
                <w:color w:val="000000"/>
                <w:sz w:val="20"/>
              </w:rPr>
              <w:t xml:space="preserve">of October 19, 2016 </w:t>
            </w:r>
          </w:p>
        </w:tc>
      </w:tr>
    </w:tbl>
    <w:bookmarkStart w:name="z13" w:id="10"/>
    <w:p>
      <w:pPr>
        <w:spacing w:after="0"/>
        <w:ind w:left="0"/>
        <w:jc w:val="left"/>
      </w:pPr>
      <w:r>
        <w:rPr>
          <w:rFonts w:ascii="Times New Roman"/>
          <w:b/>
          <w:i w:val="false"/>
          <w:color w:val="000000"/>
        </w:rPr>
        <w:t xml:space="preserve"> The Anti-Corruption Monitoring Rules </w:t>
      </w:r>
    </w:p>
    <w:bookmarkEnd w:id="10"/>
    <w:bookmarkStart w:name="z14" w:id="11"/>
    <w:p>
      <w:pPr>
        <w:spacing w:after="0"/>
        <w:ind w:left="0"/>
        <w:jc w:val="left"/>
      </w:pPr>
      <w:r>
        <w:rPr>
          <w:rFonts w:ascii="Times New Roman"/>
          <w:b/>
          <w:i w:val="false"/>
          <w:color w:val="000000"/>
        </w:rPr>
        <w:t xml:space="preserve"> Chapter 1. General provisions </w:t>
      </w:r>
    </w:p>
    <w:bookmarkEnd w:id="11"/>
    <w:bookmarkStart w:name="z15" w:id="12"/>
    <w:p>
      <w:pPr>
        <w:spacing w:after="0"/>
        <w:ind w:left="0"/>
        <w:jc w:val="both"/>
      </w:pPr>
      <w:r>
        <w:rPr>
          <w:rFonts w:ascii="Times New Roman"/>
          <w:b w:val="false"/>
          <w:i w:val="false"/>
          <w:color w:val="000000"/>
          <w:sz w:val="28"/>
        </w:rPr>
        <w:t>
      1. These Anti-Corruption Monitoring Rules (hereinafter referred to as the Rules) are developed in accordance with subparagraph 3) of paragraph 1 of Article 21 of the Law of the Republic of Kazakhstan “On Combating Corruption” as of November 18, 2015 and establish the procedure for anti-corruption monitoring by anti-corruption entities.</w:t>
      </w:r>
    </w:p>
    <w:bookmarkEnd w:id="12"/>
    <w:bookmarkStart w:name="z16" w:id="13"/>
    <w:p>
      <w:pPr>
        <w:spacing w:after="0"/>
        <w:ind w:left="0"/>
        <w:jc w:val="both"/>
      </w:pPr>
      <w:r>
        <w:rPr>
          <w:rFonts w:ascii="Times New Roman"/>
          <w:b w:val="false"/>
          <w:i w:val="false"/>
          <w:color w:val="000000"/>
          <w:sz w:val="28"/>
        </w:rPr>
        <w:t>
      2. The anti-corruption monitoring is carried out by the authorized body for combating corruption (hereinafter referred to as the authorized body) and other anti-corruption entities.</w:t>
      </w:r>
    </w:p>
    <w:bookmarkEnd w:id="13"/>
    <w:bookmarkStart w:name="z17" w:id="14"/>
    <w:p>
      <w:pPr>
        <w:spacing w:after="0"/>
        <w:ind w:left="0"/>
        <w:jc w:val="both"/>
      </w:pPr>
      <w:r>
        <w:rPr>
          <w:rFonts w:ascii="Times New Roman"/>
          <w:b w:val="false"/>
          <w:i w:val="false"/>
          <w:color w:val="000000"/>
          <w:sz w:val="28"/>
        </w:rPr>
        <w:t xml:space="preserve">
      3. Other anti-corruption entities are state bodies, quasi-public sector entities, public associations, and other individuals and legal entities. </w:t>
      </w:r>
    </w:p>
    <w:bookmarkEnd w:id="14"/>
    <w:bookmarkStart w:name="z18" w:id="15"/>
    <w:p>
      <w:pPr>
        <w:spacing w:after="0"/>
        <w:ind w:left="0"/>
        <w:jc w:val="both"/>
      </w:pPr>
      <w:r>
        <w:rPr>
          <w:rFonts w:ascii="Times New Roman"/>
          <w:b w:val="false"/>
          <w:i w:val="false"/>
          <w:color w:val="000000"/>
          <w:sz w:val="28"/>
        </w:rPr>
        <w:t xml:space="preserve">
      4. The anti-corruption monitoring focuses on activities of a state body (state bodies), organizations, quasi-public sector entities regulating the order of interaction in a particular area. </w:t>
      </w:r>
    </w:p>
    <w:bookmarkEnd w:id="15"/>
    <w:bookmarkStart w:name="z19" w:id="16"/>
    <w:p>
      <w:pPr>
        <w:spacing w:after="0"/>
        <w:ind w:left="0"/>
        <w:jc w:val="left"/>
      </w:pPr>
      <w:r>
        <w:rPr>
          <w:rFonts w:ascii="Times New Roman"/>
          <w:b/>
          <w:i w:val="false"/>
          <w:color w:val="000000"/>
        </w:rPr>
        <w:t xml:space="preserve"> Chapter 2. The anti-corruption monitoring procedure</w:t>
      </w:r>
    </w:p>
    <w:bookmarkEnd w:id="16"/>
    <w:bookmarkStart w:name="z20" w:id="17"/>
    <w:p>
      <w:pPr>
        <w:spacing w:after="0"/>
        <w:ind w:left="0"/>
        <w:jc w:val="both"/>
      </w:pPr>
      <w:r>
        <w:rPr>
          <w:rFonts w:ascii="Times New Roman"/>
          <w:b w:val="false"/>
          <w:i w:val="false"/>
          <w:color w:val="000000"/>
          <w:sz w:val="28"/>
        </w:rPr>
        <w:t xml:space="preserve">
      5. The authorized body carries out the anti-corruption monitoring by: </w:t>
      </w:r>
    </w:p>
    <w:bookmarkEnd w:id="17"/>
    <w:bookmarkStart w:name="z21" w:id="18"/>
    <w:p>
      <w:pPr>
        <w:spacing w:after="0"/>
        <w:ind w:left="0"/>
        <w:jc w:val="both"/>
      </w:pPr>
      <w:r>
        <w:rPr>
          <w:rFonts w:ascii="Times New Roman"/>
          <w:b w:val="false"/>
          <w:i w:val="false"/>
          <w:color w:val="000000"/>
          <w:sz w:val="28"/>
        </w:rPr>
        <w:t>
      1) studying and evaluating law enforcement practices in the anti-corruption area;</w:t>
      </w:r>
    </w:p>
    <w:bookmarkEnd w:id="18"/>
    <w:bookmarkStart w:name="z22" w:id="19"/>
    <w:p>
      <w:pPr>
        <w:spacing w:after="0"/>
        <w:ind w:left="0"/>
        <w:jc w:val="both"/>
      </w:pPr>
      <w:r>
        <w:rPr>
          <w:rFonts w:ascii="Times New Roman"/>
          <w:b w:val="false"/>
          <w:i w:val="false"/>
          <w:color w:val="000000"/>
          <w:sz w:val="28"/>
        </w:rPr>
        <w:t>
      2) studying activities of state bodies, organizations and quasi-public sector entities in terms of anti-corruption;</w:t>
      </w:r>
    </w:p>
    <w:bookmarkEnd w:id="19"/>
    <w:bookmarkStart w:name="z23" w:id="20"/>
    <w:p>
      <w:pPr>
        <w:spacing w:after="0"/>
        <w:ind w:left="0"/>
        <w:jc w:val="both"/>
      </w:pPr>
      <w:r>
        <w:rPr>
          <w:rFonts w:ascii="Times New Roman"/>
          <w:b w:val="false"/>
          <w:i w:val="false"/>
          <w:color w:val="000000"/>
          <w:sz w:val="28"/>
        </w:rPr>
        <w:t>
      3) studying publications in the media and anti-corruption applications of individuals and legal entities;</w:t>
      </w:r>
    </w:p>
    <w:bookmarkEnd w:id="20"/>
    <w:bookmarkStart w:name="z24" w:id="21"/>
    <w:p>
      <w:pPr>
        <w:spacing w:after="0"/>
        <w:ind w:left="0"/>
        <w:jc w:val="both"/>
      </w:pPr>
      <w:r>
        <w:rPr>
          <w:rFonts w:ascii="Times New Roman"/>
          <w:b w:val="false"/>
          <w:i w:val="false"/>
          <w:color w:val="000000"/>
          <w:sz w:val="28"/>
        </w:rPr>
        <w:t>
      4) studying and assessing causes and conditions conducive to corruption in the activities of persons found guilty in the manner prescribed by law;</w:t>
      </w:r>
    </w:p>
    <w:bookmarkEnd w:id="21"/>
    <w:bookmarkStart w:name="z25" w:id="22"/>
    <w:p>
      <w:pPr>
        <w:spacing w:after="0"/>
        <w:ind w:left="0"/>
        <w:jc w:val="both"/>
      </w:pPr>
      <w:r>
        <w:rPr>
          <w:rFonts w:ascii="Times New Roman"/>
          <w:b w:val="false"/>
          <w:i w:val="false"/>
          <w:color w:val="000000"/>
          <w:sz w:val="28"/>
        </w:rPr>
        <w:t>
      5) considering results of opinion polls on anti-corruption issues;</w:t>
      </w:r>
    </w:p>
    <w:bookmarkEnd w:id="22"/>
    <w:bookmarkStart w:name="z26" w:id="23"/>
    <w:p>
      <w:pPr>
        <w:spacing w:after="0"/>
        <w:ind w:left="0"/>
        <w:jc w:val="both"/>
      </w:pPr>
      <w:r>
        <w:rPr>
          <w:rFonts w:ascii="Times New Roman"/>
          <w:b w:val="false"/>
          <w:i w:val="false"/>
          <w:color w:val="000000"/>
          <w:sz w:val="28"/>
        </w:rPr>
        <w:t>
      6) studying data from legal statistics authorities.</w:t>
      </w:r>
    </w:p>
    <w:bookmarkEnd w:id="23"/>
    <w:bookmarkStart w:name="z27" w:id="24"/>
    <w:p>
      <w:pPr>
        <w:spacing w:after="0"/>
        <w:ind w:left="0"/>
        <w:jc w:val="both"/>
      </w:pPr>
      <w:r>
        <w:rPr>
          <w:rFonts w:ascii="Times New Roman"/>
          <w:b w:val="false"/>
          <w:i w:val="false"/>
          <w:color w:val="000000"/>
          <w:sz w:val="28"/>
        </w:rPr>
        <w:t>
      6. Other anti-corruption entities are allowed to conduct anti-corruption monitoring on their own initiative and send its results to the authorized body for generalization.</w:t>
      </w:r>
    </w:p>
    <w:bookmarkEnd w:id="24"/>
    <w:bookmarkStart w:name="z28" w:id="25"/>
    <w:p>
      <w:pPr>
        <w:spacing w:after="0"/>
        <w:ind w:left="0"/>
        <w:jc w:val="both"/>
      </w:pPr>
      <w:r>
        <w:rPr>
          <w:rFonts w:ascii="Times New Roman"/>
          <w:b w:val="false"/>
          <w:i w:val="false"/>
          <w:color w:val="000000"/>
          <w:sz w:val="28"/>
        </w:rPr>
        <w:t>
      7. The results of anti-corruption monitoring are documented in accordance with the form in the appendix to these Rules.</w:t>
      </w:r>
    </w:p>
    <w:bookmarkEnd w:id="25"/>
    <w:bookmarkStart w:name="z29" w:id="26"/>
    <w:p>
      <w:pPr>
        <w:spacing w:after="0"/>
        <w:ind w:left="0"/>
        <w:jc w:val="left"/>
      </w:pPr>
      <w:r>
        <w:rPr>
          <w:rFonts w:ascii="Times New Roman"/>
          <w:b/>
          <w:i w:val="false"/>
          <w:color w:val="000000"/>
        </w:rPr>
        <w:t xml:space="preserve"> Chapter 3. Anti-corruption monitoring results</w:t>
      </w:r>
    </w:p>
    <w:bookmarkEnd w:id="26"/>
    <w:bookmarkStart w:name="z30" w:id="27"/>
    <w:p>
      <w:pPr>
        <w:spacing w:after="0"/>
        <w:ind w:left="0"/>
        <w:jc w:val="both"/>
      </w:pPr>
      <w:r>
        <w:rPr>
          <w:rFonts w:ascii="Times New Roman"/>
          <w:b w:val="false"/>
          <w:i w:val="false"/>
          <w:color w:val="000000"/>
          <w:sz w:val="28"/>
        </w:rPr>
        <w:t xml:space="preserve">
      8. The authorized body considers and analyzes the results of anti-corruption monitoring received from its territorial units and other anti-corruption entities on a regular basis. </w:t>
      </w:r>
    </w:p>
    <w:bookmarkEnd w:id="27"/>
    <w:bookmarkStart w:name="z31" w:id="28"/>
    <w:p>
      <w:pPr>
        <w:spacing w:after="0"/>
        <w:ind w:left="0"/>
        <w:jc w:val="both"/>
      </w:pPr>
      <w:r>
        <w:rPr>
          <w:rFonts w:ascii="Times New Roman"/>
          <w:b w:val="false"/>
          <w:i w:val="false"/>
          <w:color w:val="000000"/>
          <w:sz w:val="28"/>
        </w:rPr>
        <w:t xml:space="preserve">
      9. On a quarterly basis, pursuant to the results of anti-corruption monitoring, the authorized body draws up an analytical report assessing the current situation in the anti-corruption area and containing a decision in accordance with paragraph 10 of these Rules. </w:t>
      </w:r>
    </w:p>
    <w:bookmarkEnd w:id="28"/>
    <w:bookmarkStart w:name="z32" w:id="29"/>
    <w:p>
      <w:pPr>
        <w:spacing w:after="0"/>
        <w:ind w:left="0"/>
        <w:jc w:val="both"/>
      </w:pPr>
      <w:r>
        <w:rPr>
          <w:rFonts w:ascii="Times New Roman"/>
          <w:b w:val="false"/>
          <w:i w:val="false"/>
          <w:color w:val="000000"/>
          <w:sz w:val="28"/>
        </w:rPr>
        <w:t>
      10. A decision of the authorized body is:</w:t>
      </w:r>
    </w:p>
    <w:bookmarkEnd w:id="29"/>
    <w:bookmarkStart w:name="z33" w:id="30"/>
    <w:p>
      <w:pPr>
        <w:spacing w:after="0"/>
        <w:ind w:left="0"/>
        <w:jc w:val="both"/>
      </w:pPr>
      <w:r>
        <w:rPr>
          <w:rFonts w:ascii="Times New Roman"/>
          <w:b w:val="false"/>
          <w:i w:val="false"/>
          <w:color w:val="000000"/>
          <w:sz w:val="28"/>
        </w:rPr>
        <w:t xml:space="preserve">
      1) the development of proposals for enhancing the efficiency of anti-corruption entities; </w:t>
      </w:r>
    </w:p>
    <w:bookmarkEnd w:id="30"/>
    <w:bookmarkStart w:name="z34" w:id="31"/>
    <w:p>
      <w:pPr>
        <w:spacing w:after="0"/>
        <w:ind w:left="0"/>
        <w:jc w:val="both"/>
      </w:pPr>
      <w:r>
        <w:rPr>
          <w:rFonts w:ascii="Times New Roman"/>
          <w:b w:val="false"/>
          <w:i w:val="false"/>
          <w:color w:val="000000"/>
          <w:sz w:val="28"/>
        </w:rPr>
        <w:t xml:space="preserve">
      2) the development of recommendations to analyze corruption risks in activities of anti-corruption entities. </w:t>
      </w:r>
    </w:p>
    <w:bookmarkEnd w:id="31"/>
    <w:bookmarkStart w:name="z35" w:id="32"/>
    <w:p>
      <w:pPr>
        <w:spacing w:after="0"/>
        <w:ind w:left="0"/>
        <w:jc w:val="both"/>
      </w:pPr>
      <w:r>
        <w:rPr>
          <w:rFonts w:ascii="Times New Roman"/>
          <w:b w:val="false"/>
          <w:i w:val="false"/>
          <w:color w:val="000000"/>
          <w:sz w:val="28"/>
        </w:rPr>
        <w:t>
      11. On a quarterly basis, the authorized body places the results of anti-corruption monitoring on its official website.</w:t>
      </w:r>
    </w:p>
    <w:bookmarkEnd w:id="32"/>
    <w:bookmarkStart w:name="z36" w:id="33"/>
    <w:p>
      <w:pPr>
        <w:spacing w:after="0"/>
        <w:ind w:left="0"/>
        <w:jc w:val="both"/>
      </w:pPr>
      <w:r>
        <w:rPr>
          <w:rFonts w:ascii="Times New Roman"/>
          <w:b w:val="false"/>
          <w:i w:val="false"/>
          <w:color w:val="000000"/>
          <w:sz w:val="28"/>
        </w:rPr>
        <w:t xml:space="preserve">
      12. Pursuant to requests and applications from other anti-corruption entities, the authorized body produces information on the results of anti-corruption monitoring.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Anti-Corruption </w:t>
            </w:r>
            <w:r>
              <w:br/>
            </w:r>
            <w:r>
              <w:rPr>
                <w:rFonts w:ascii="Times New Roman"/>
                <w:b w:val="false"/>
                <w:i w:val="false"/>
                <w:color w:val="000000"/>
                <w:sz w:val="20"/>
              </w:rPr>
              <w:t xml:space="preserve">Monitoring Rules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39" w:id="34"/>
    <w:p>
      <w:pPr>
        <w:spacing w:after="0"/>
        <w:ind w:left="0"/>
        <w:jc w:val="left"/>
      </w:pPr>
      <w:r>
        <w:rPr>
          <w:rFonts w:ascii="Times New Roman"/>
          <w:b/>
          <w:i w:val="false"/>
          <w:color w:val="000000"/>
        </w:rPr>
        <w:t xml:space="preserve"> The result of anti-corruption monitoring </w:t>
      </w:r>
    </w:p>
    <w:bookmarkEnd w:id="34"/>
    <w:bookmarkStart w:name="z40" w:id="35"/>
    <w:p>
      <w:pPr>
        <w:spacing w:after="0"/>
        <w:ind w:left="0"/>
        <w:jc w:val="left"/>
      </w:pPr>
      <w:r>
        <w:rPr>
          <w:rFonts w:ascii="Times New Roman"/>
          <w:b/>
          <w:i w:val="false"/>
          <w:color w:val="000000"/>
        </w:rPr>
        <w:t xml:space="preserve"> I. Introduction</w:t>
      </w:r>
    </w:p>
    <w:bookmarkEnd w:id="35"/>
    <w:bookmarkStart w:name="z41" w:id="36"/>
    <w:p>
      <w:pPr>
        <w:spacing w:after="0"/>
        <w:ind w:left="0"/>
        <w:jc w:val="both"/>
      </w:pPr>
      <w:r>
        <w:rPr>
          <w:rFonts w:ascii="Times New Roman"/>
          <w:b w:val="false"/>
          <w:i w:val="false"/>
          <w:color w:val="000000"/>
          <w:sz w:val="28"/>
        </w:rPr>
        <w:t>
      1. The focus of anti-corruption monitoring: _________________.</w:t>
      </w:r>
    </w:p>
    <w:bookmarkEnd w:id="36"/>
    <w:bookmarkStart w:name="z42" w:id="37"/>
    <w:p>
      <w:pPr>
        <w:spacing w:after="0"/>
        <w:ind w:left="0"/>
        <w:jc w:val="both"/>
      </w:pPr>
      <w:r>
        <w:rPr>
          <w:rFonts w:ascii="Times New Roman"/>
          <w:b w:val="false"/>
          <w:i w:val="false"/>
          <w:color w:val="000000"/>
          <w:sz w:val="28"/>
        </w:rPr>
        <w:t>
      2. The anti-corruption monitoring was carried out by:</w:t>
      </w:r>
    </w:p>
    <w:bookmarkEnd w:id="37"/>
    <w:bookmarkStart w:name="z43" w:id="38"/>
    <w:p>
      <w:pPr>
        <w:spacing w:after="0"/>
        <w:ind w:left="0"/>
        <w:jc w:val="both"/>
      </w:pPr>
      <w:r>
        <w:rPr>
          <w:rFonts w:ascii="Times New Roman"/>
          <w:b w:val="false"/>
          <w:i w:val="false"/>
          <w:color w:val="000000"/>
          <w:sz w:val="28"/>
        </w:rPr>
        <w:t>
      individual/legal entity, email address, phone number.</w:t>
      </w:r>
    </w:p>
    <w:bookmarkEnd w:id="38"/>
    <w:bookmarkStart w:name="z44" w:id="39"/>
    <w:p>
      <w:pPr>
        <w:spacing w:after="0"/>
        <w:ind w:left="0"/>
        <w:jc w:val="both"/>
      </w:pPr>
      <w:r>
        <w:rPr>
          <w:rFonts w:ascii="Times New Roman"/>
          <w:b w:val="false"/>
          <w:i w:val="false"/>
          <w:color w:val="000000"/>
          <w:sz w:val="28"/>
        </w:rPr>
        <w:t>
      3. The timing of anti-corruption monitoring: started on ____</w:t>
      </w:r>
    </w:p>
    <w:bookmarkEnd w:id="39"/>
    <w:bookmarkStart w:name="z45" w:id="40"/>
    <w:p>
      <w:pPr>
        <w:spacing w:after="0"/>
        <w:ind w:left="0"/>
        <w:jc w:val="both"/>
      </w:pPr>
      <w:r>
        <w:rPr>
          <w:rFonts w:ascii="Times New Roman"/>
          <w:b w:val="false"/>
          <w:i w:val="false"/>
          <w:color w:val="000000"/>
          <w:sz w:val="28"/>
        </w:rPr>
        <w:t>
      finished on____.</w:t>
      </w:r>
    </w:p>
    <w:bookmarkEnd w:id="40"/>
    <w:bookmarkStart w:name="z46" w:id="41"/>
    <w:p>
      <w:pPr>
        <w:spacing w:after="0"/>
        <w:ind w:left="0"/>
        <w:jc w:val="both"/>
      </w:pPr>
      <w:r>
        <w:rPr>
          <w:rFonts w:ascii="Times New Roman"/>
          <w:b w:val="false"/>
          <w:i w:val="false"/>
          <w:color w:val="000000"/>
          <w:sz w:val="28"/>
        </w:rPr>
        <w:t>
      4. The period of monitoring: activities for ______ (years)</w:t>
      </w:r>
    </w:p>
    <w:bookmarkEnd w:id="41"/>
    <w:bookmarkStart w:name="z47" w:id="42"/>
    <w:p>
      <w:pPr>
        <w:spacing w:after="0"/>
        <w:ind w:left="0"/>
        <w:jc w:val="left"/>
      </w:pPr>
      <w:r>
        <w:rPr>
          <w:rFonts w:ascii="Times New Roman"/>
          <w:b/>
          <w:i w:val="false"/>
          <w:color w:val="000000"/>
        </w:rPr>
        <w:t xml:space="preserve"> II. Information and analysis</w:t>
      </w:r>
    </w:p>
    <w:bookmarkEnd w:id="42"/>
    <w:bookmarkStart w:name="z48" w:id="43"/>
    <w:p>
      <w:pPr>
        <w:spacing w:after="0"/>
        <w:ind w:left="0"/>
        <w:jc w:val="both"/>
      </w:pPr>
      <w:r>
        <w:rPr>
          <w:rFonts w:ascii="Times New Roman"/>
          <w:b w:val="false"/>
          <w:i w:val="false"/>
          <w:color w:val="000000"/>
          <w:sz w:val="28"/>
        </w:rPr>
        <w:t>
      Quantitative and qualitative indicators characterizing the situation and reasons for the occurrence of corruption in the activities of state bodies, organizations, quasi-public sector entities.</w:t>
      </w:r>
    </w:p>
    <w:bookmarkEnd w:id="43"/>
    <w:bookmarkStart w:name="z49" w:id="44"/>
    <w:p>
      <w:pPr>
        <w:spacing w:after="0"/>
        <w:ind w:left="0"/>
        <w:jc w:val="left"/>
      </w:pPr>
      <w:r>
        <w:rPr>
          <w:rFonts w:ascii="Times New Roman"/>
          <w:b/>
          <w:i w:val="false"/>
          <w:color w:val="000000"/>
        </w:rPr>
        <w:t xml:space="preserve"> III. Conclusion</w:t>
      </w:r>
    </w:p>
    <w:bookmarkEnd w:id="44"/>
    <w:bookmarkStart w:name="z50" w:id="45"/>
    <w:p>
      <w:pPr>
        <w:spacing w:after="0"/>
        <w:ind w:left="0"/>
        <w:jc w:val="both"/>
      </w:pPr>
      <w:r>
        <w:rPr>
          <w:rFonts w:ascii="Times New Roman"/>
          <w:b w:val="false"/>
          <w:i w:val="false"/>
          <w:color w:val="000000"/>
          <w:sz w:val="28"/>
        </w:rPr>
        <w:t>
      Conclusions. Recommendations and proposals for improving current anti-corruption measures taken by anti-corruption entities.</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