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c155" w14:textId="29fc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regulating the price ceiling for subsidized universal communications services provided in rural areas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No. 215 as of October 20, 2016. Registered with the Ministry of Justice of the Republic of Kazakhstan on December 14, 2016, No. 14530.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paragraph 2 of Article 20 of the Law of the Republic of Kazakhstan “On Communications” as of July 5, 2004, and also in accordance with paragraph 2 of Article 8 of the Law of the Republic of Kazakhstan “On Post” as of April 9, 2016, I hereby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Order № 74 of the Minister of Information and Communications of the Republic of Kazakhstan as of 02.28.2017 (shall take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Rules for regulating the price ceiling for subsidized universal telecommunication services provided in rural areas.</w:t>
      </w:r>
    </w:p>
    <w:p>
      <w:pPr>
        <w:spacing w:after="0"/>
        <w:ind w:left="0"/>
        <w:jc w:val="both"/>
      </w:pPr>
      <w:r>
        <w:rPr>
          <w:rFonts w:ascii="Times New Roman"/>
          <w:b w:val="false"/>
          <w:i w:val="false"/>
          <w:color w:val="000000"/>
          <w:sz w:val="28"/>
        </w:rPr>
        <w:t>
      2. The Committee for State Control in the field of communications, informatization and the media of the Ministry of Information and Communications of the Republic of Kazakhstan shall:</w:t>
      </w:r>
    </w:p>
    <w:p>
      <w:pPr>
        <w:spacing w:after="0"/>
        <w:ind w:left="0"/>
        <w:jc w:val="both"/>
      </w:pPr>
      <w:r>
        <w:rPr>
          <w:rFonts w:ascii="Times New Roman"/>
          <w:b w:val="false"/>
          <w:i w:val="false"/>
          <w:color w:val="000000"/>
          <w:sz w:val="28"/>
        </w:rPr>
        <w:t xml:space="preserve">
      1) ensure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of the state registration of this order with the Ministry of Justice of the Republic of Kazakhstan, send its paper-based and electronic copy for official publication to print periodicals and the “Adilet” Legal Information System, and also to the Republican Center of Legal Information for its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Information and Communications of the Republic of Kazakhstan; </w:t>
      </w:r>
    </w:p>
    <w:p>
      <w:pPr>
        <w:spacing w:after="0"/>
        <w:ind w:left="0"/>
        <w:jc w:val="both"/>
      </w:pPr>
      <w:r>
        <w:rPr>
          <w:rFonts w:ascii="Times New Roman"/>
          <w:b w:val="false"/>
          <w:i w:val="false"/>
          <w:color w:val="000000"/>
          <w:sz w:val="28"/>
        </w:rPr>
        <w:t>
      4) within ten working days of the state registration of this order with the Ministry of Justice of the Republic of Kazakhstan, submit information about the implementation of measures, provided for in subparagraphs 1), 2) and 3) of this paragraph, to the Legal Department of the Ministry of Information and Communications of the Republic of Kazakhstan.</w:t>
      </w:r>
    </w:p>
    <w:p>
      <w:pPr>
        <w:spacing w:after="0"/>
        <w:ind w:left="0"/>
        <w:jc w:val="both"/>
      </w:pPr>
      <w:r>
        <w:rPr>
          <w:rFonts w:ascii="Times New Roman"/>
          <w:b w:val="false"/>
          <w:i w:val="false"/>
          <w:color w:val="000000"/>
          <w:sz w:val="28"/>
        </w:rPr>
        <w:t>
      3. The control over the execution of this order shall be assigned to the supervising deputy minister of information and communications of the Republic of Kazakhstan.</w:t>
      </w:r>
    </w:p>
    <w:p>
      <w:pPr>
        <w:spacing w:after="0"/>
        <w:ind w:left="0"/>
        <w:jc w:val="both"/>
      </w:pPr>
      <w:r>
        <w:rPr>
          <w:rFonts w:ascii="Times New Roman"/>
          <w:b w:val="false"/>
          <w:i w:val="false"/>
          <w:color w:val="000000"/>
          <w:sz w:val="28"/>
        </w:rPr>
        <w:t xml:space="preserve">
      4. This order shall take effect ten calendar days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w:t>
            </w:r>
          </w:p>
          <w:p>
            <w:pPr>
              <w:spacing w:after="20"/>
              <w:ind w:left="20"/>
              <w:jc w:val="both"/>
            </w:pPr>
          </w:p>
          <w:p>
            <w:pPr>
              <w:spacing w:after="20"/>
              <w:ind w:left="20"/>
              <w:jc w:val="both"/>
            </w:pPr>
            <w:r>
              <w:rPr>
                <w:rFonts w:ascii="Times New Roman"/>
                <w:b w:val="false"/>
                <w:i/>
                <w:color w:val="000000"/>
                <w:sz w:val="20"/>
              </w:rPr>
              <w:t xml:space="preserve">Information and Communications </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of National Economy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________________ K. Bishimbaev </w:t>
      </w:r>
    </w:p>
    <w:p>
      <w:pPr>
        <w:spacing w:after="0"/>
        <w:ind w:left="0"/>
        <w:jc w:val="both"/>
      </w:pPr>
      <w:r>
        <w:rPr>
          <w:rFonts w:ascii="Times New Roman"/>
          <w:b w:val="false"/>
          <w:i w:val="false"/>
          <w:color w:val="000000"/>
          <w:sz w:val="28"/>
        </w:rPr>
        <w:t xml:space="preserve">November 14, 2016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Minister of Finance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________________ B.Sultanov </w:t>
      </w:r>
    </w:p>
    <w:p>
      <w:pPr>
        <w:spacing w:after="0"/>
        <w:ind w:left="0"/>
        <w:jc w:val="both"/>
      </w:pPr>
      <w:r>
        <w:rPr>
          <w:rFonts w:ascii="Times New Roman"/>
          <w:b w:val="false"/>
          <w:i w:val="false"/>
          <w:color w:val="000000"/>
          <w:sz w:val="28"/>
        </w:rPr>
        <w:t xml:space="preserve">November 15, 2016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No. 215 of the</w:t>
            </w:r>
            <w:r>
              <w:br/>
            </w:r>
            <w:r>
              <w:rPr>
                <w:rFonts w:ascii="Times New Roman"/>
                <w:b w:val="false"/>
                <w:i w:val="false"/>
                <w:color w:val="000000"/>
                <w:sz w:val="20"/>
              </w:rPr>
              <w:t>Minister of Information and</w:t>
            </w:r>
            <w:r>
              <w:br/>
            </w:r>
            <w:r>
              <w:rPr>
                <w:rFonts w:ascii="Times New Roman"/>
                <w:b w:val="false"/>
                <w:i w:val="false"/>
                <w:color w:val="000000"/>
                <w:sz w:val="20"/>
              </w:rPr>
              <w:t>Communications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October 20, 2016 </w:t>
            </w:r>
          </w:p>
        </w:tc>
      </w:tr>
    </w:tbl>
    <w:p>
      <w:pPr>
        <w:spacing w:after="0"/>
        <w:ind w:left="0"/>
        <w:jc w:val="left"/>
      </w:pPr>
      <w:r>
        <w:rPr>
          <w:rFonts w:ascii="Times New Roman"/>
          <w:b/>
          <w:i w:val="false"/>
          <w:color w:val="000000"/>
        </w:rPr>
        <w:t xml:space="preserve"> Rules for regulating the price ceiling for subsidized universal</w:t>
      </w:r>
      <w:r>
        <w:br/>
      </w:r>
      <w:r>
        <w:rPr>
          <w:rFonts w:ascii="Times New Roman"/>
          <w:b/>
          <w:i w:val="false"/>
          <w:color w:val="000000"/>
        </w:rPr>
        <w:t>communications services provided in rural areas Chapter 1. General provisions</w:t>
      </w:r>
    </w:p>
    <w:p>
      <w:pPr>
        <w:spacing w:after="0"/>
        <w:ind w:left="0"/>
        <w:jc w:val="both"/>
      </w:pPr>
      <w:r>
        <w:rPr>
          <w:rFonts w:ascii="Times New Roman"/>
          <w:b w:val="false"/>
          <w:i w:val="false"/>
          <w:color w:val="000000"/>
          <w:sz w:val="28"/>
        </w:rPr>
        <w:t>
      1. These Rules for regulating the price ceiling for subsidized universal communications services provided in rural areas (hereinafter referred to as the Rules) are approved in accordance with paragraph 2 of Article 20 of the Law of the Republic of Kazakhstan “On Communication” as of July 5, 2004, and also in accordance with paragraph 2 of Article 8 of the Law of the Republic of Kazakhstan “On Post” as of April 9, 2016 and establish the procedure for regulating the price ceiling for subsidized universal communications services provided in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 is in the wording of Order № 74 of the Minister of Information and Communications of the Republic of Kazakhstan as of 02.28.2017 (shall take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are used in these Rules:</w:t>
      </w:r>
    </w:p>
    <w:p>
      <w:pPr>
        <w:spacing w:after="0"/>
        <w:ind w:left="0"/>
        <w:jc w:val="both"/>
      </w:pPr>
      <w:r>
        <w:rPr>
          <w:rFonts w:ascii="Times New Roman"/>
          <w:b w:val="false"/>
          <w:i w:val="false"/>
          <w:color w:val="000000"/>
          <w:sz w:val="28"/>
        </w:rPr>
        <w:t xml:space="preserve">
      1) universal service operator - a communications service provider that provides communications services and, in accordance with the legislation of the Republic of Kazakhstan, is responsible for providing universal communications services (hereinafter referred to as the Operator); </w:t>
      </w:r>
    </w:p>
    <w:p>
      <w:pPr>
        <w:spacing w:after="0"/>
        <w:ind w:left="0"/>
        <w:jc w:val="both"/>
      </w:pPr>
      <w:r>
        <w:rPr>
          <w:rFonts w:ascii="Times New Roman"/>
          <w:b w:val="false"/>
          <w:i w:val="false"/>
          <w:color w:val="000000"/>
          <w:sz w:val="28"/>
        </w:rPr>
        <w:t>
      2) universal communications services - the minimum list of communications services, which is fixed in the telecommunications and postal services sector, developed by the authorized body and approved by the Government of the Republic of Kazakhstan, which universal service operators are obliged to provide to any user of communications services in any populated locality within a specified period with the established quality and price level that ensure the accessibility of these services.</w:t>
      </w:r>
    </w:p>
    <w:p>
      <w:pPr>
        <w:spacing w:after="0"/>
        <w:ind w:left="0"/>
        <w:jc w:val="both"/>
      </w:pPr>
      <w:r>
        <w:rPr>
          <w:rFonts w:ascii="Times New Roman"/>
          <w:b w:val="false"/>
          <w:i w:val="false"/>
          <w:color w:val="000000"/>
          <w:sz w:val="28"/>
        </w:rPr>
        <w:t>
      3. The main criteria for the provision of universal communications services include:</w:t>
      </w:r>
    </w:p>
    <w:p>
      <w:pPr>
        <w:spacing w:after="0"/>
        <w:ind w:left="0"/>
        <w:jc w:val="both"/>
      </w:pPr>
      <w:r>
        <w:rPr>
          <w:rFonts w:ascii="Times New Roman"/>
          <w:b w:val="false"/>
          <w:i w:val="false"/>
          <w:color w:val="000000"/>
          <w:sz w:val="28"/>
        </w:rPr>
        <w:t>
      1) price affordability for users of communications services;</w:t>
      </w:r>
    </w:p>
    <w:p>
      <w:pPr>
        <w:spacing w:after="0"/>
        <w:ind w:left="0"/>
        <w:jc w:val="both"/>
      </w:pPr>
      <w:r>
        <w:rPr>
          <w:rFonts w:ascii="Times New Roman"/>
          <w:b w:val="false"/>
          <w:i w:val="false"/>
          <w:color w:val="000000"/>
          <w:sz w:val="28"/>
        </w:rPr>
        <w:t>
      2) accessibility at the place of residence, determined with account of the category of a populated locality and the number of inhabitants;</w:t>
      </w:r>
    </w:p>
    <w:p>
      <w:pPr>
        <w:spacing w:after="0"/>
        <w:ind w:left="0"/>
        <w:jc w:val="both"/>
      </w:pPr>
      <w:r>
        <w:rPr>
          <w:rFonts w:ascii="Times New Roman"/>
          <w:b w:val="false"/>
          <w:i w:val="false"/>
          <w:color w:val="000000"/>
          <w:sz w:val="28"/>
        </w:rPr>
        <w:t>
      3) availability in terms of time, determined with account of the fulfillment of requests for the installation of one-party telephones or the introduction of a certain number of access lines (installation of public telephones) within a specified period of time.</w:t>
      </w:r>
    </w:p>
    <w:p>
      <w:pPr>
        <w:spacing w:after="0"/>
        <w:ind w:left="0"/>
        <w:jc w:val="left"/>
      </w:pPr>
      <w:r>
        <w:rPr>
          <w:rFonts w:ascii="Times New Roman"/>
          <w:b/>
          <w:i w:val="false"/>
          <w:color w:val="000000"/>
        </w:rPr>
        <w:t xml:space="preserve"> Chapter 2. Procedure for regulating the price ceiling for subsidized universal communication</w:t>
      </w:r>
      <w:r>
        <w:br/>
      </w:r>
      <w:r>
        <w:rPr>
          <w:rFonts w:ascii="Times New Roman"/>
          <w:b/>
          <w:i w:val="false"/>
          <w:color w:val="000000"/>
        </w:rPr>
        <w:t xml:space="preserve"> services provided in rural areas </w:t>
      </w:r>
    </w:p>
    <w:p>
      <w:pPr>
        <w:spacing w:after="0"/>
        <w:ind w:left="0"/>
        <w:jc w:val="both"/>
      </w:pPr>
      <w:r>
        <w:rPr>
          <w:rFonts w:ascii="Times New Roman"/>
          <w:b w:val="false"/>
          <w:i w:val="false"/>
          <w:color w:val="000000"/>
          <w:sz w:val="28"/>
        </w:rPr>
        <w:t>
      4. The price ceiling for subsidized universal communications services provided in rural areas is regulated by the authorized body.</w:t>
      </w:r>
    </w:p>
    <w:p>
      <w:pPr>
        <w:spacing w:after="0"/>
        <w:ind w:left="0"/>
        <w:jc w:val="both"/>
      </w:pPr>
      <w:r>
        <w:rPr>
          <w:rFonts w:ascii="Times New Roman"/>
          <w:b w:val="false"/>
          <w:i w:val="false"/>
          <w:color w:val="000000"/>
          <w:sz w:val="28"/>
        </w:rPr>
        <w:t>
      5. The authorized body regulates the price ceiling for each type of universal communications services in rural areas, depending on the minimum subsistence level established by the Law of the Republic of Kazakhstan “On the Republican Budget” for the corresponding financial year.</w:t>
      </w:r>
    </w:p>
    <w:p>
      <w:pPr>
        <w:spacing w:after="0"/>
        <w:ind w:left="0"/>
        <w:jc w:val="both"/>
      </w:pPr>
      <w:r>
        <w:rPr>
          <w:rFonts w:ascii="Times New Roman"/>
          <w:b w:val="false"/>
          <w:i w:val="false"/>
          <w:color w:val="000000"/>
          <w:sz w:val="28"/>
        </w:rPr>
        <w:t>
      6. To determine the amount of subsidies, the Operators provide information on the cost of universal communications services according to the separate recognition of revenue and expenditure by type of activity, in accordance with the methodology of the communications services approved by the communications operator and the parts of the communications network used to provide these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Order of the Minister of Digital Development, Innovation and Aerospace Industry of the Republic of Kazakhstan dated 07.02.2023 No. 42/NK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authorized body calculates the cost of universal communications services based on data provided by the Operators on separate recognition of revenue and expenditure by types of activity, services rendered, which are used to provide these services. The decision on the level of the cost of universal communications services adopted for calculations is documented as an order of the authorized body.</w:t>
      </w:r>
    </w:p>
    <w:p>
      <w:pPr>
        <w:spacing w:after="0"/>
        <w:ind w:left="0"/>
        <w:jc w:val="both"/>
      </w:pPr>
      <w:r>
        <w:rPr>
          <w:rFonts w:ascii="Times New Roman"/>
          <w:b w:val="false"/>
          <w:i w:val="false"/>
          <w:color w:val="000000"/>
          <w:sz w:val="28"/>
        </w:rPr>
        <w:t>
      8-1. When calculating the cost of universal communication services, the authorized body shall take into account the following costs:</w:t>
      </w:r>
    </w:p>
    <w:p>
      <w:pPr>
        <w:spacing w:after="0"/>
        <w:ind w:left="0"/>
        <w:jc w:val="both"/>
      </w:pPr>
      <w:r>
        <w:rPr>
          <w:rFonts w:ascii="Times New Roman"/>
          <w:b w:val="false"/>
          <w:i w:val="false"/>
          <w:color w:val="000000"/>
          <w:sz w:val="28"/>
        </w:rPr>
        <w:t>
      1) material costs associated with the provision of universal services;</w:t>
      </w:r>
    </w:p>
    <w:p>
      <w:pPr>
        <w:spacing w:after="0"/>
        <w:ind w:left="0"/>
        <w:jc w:val="both"/>
      </w:pPr>
      <w:r>
        <w:rPr>
          <w:rFonts w:ascii="Times New Roman"/>
          <w:b w:val="false"/>
          <w:i w:val="false"/>
          <w:color w:val="000000"/>
          <w:sz w:val="28"/>
        </w:rPr>
        <w:t>
      2) labor costs, including production personnel;</w:t>
      </w:r>
    </w:p>
    <w:p>
      <w:pPr>
        <w:spacing w:after="0"/>
        <w:ind w:left="0"/>
        <w:jc w:val="both"/>
      </w:pPr>
      <w:r>
        <w:rPr>
          <w:rFonts w:ascii="Times New Roman"/>
          <w:b w:val="false"/>
          <w:i w:val="false"/>
          <w:color w:val="000000"/>
          <w:sz w:val="28"/>
        </w:rPr>
        <w:t>
      3) expenses for compulsory types of insurance, taxes, fees and other obligatory payments to the budget;</w:t>
      </w:r>
    </w:p>
    <w:p>
      <w:pPr>
        <w:spacing w:after="0"/>
        <w:ind w:left="0"/>
        <w:jc w:val="both"/>
      </w:pPr>
      <w:r>
        <w:rPr>
          <w:rFonts w:ascii="Times New Roman"/>
          <w:b w:val="false"/>
          <w:i w:val="false"/>
          <w:color w:val="000000"/>
          <w:sz w:val="28"/>
        </w:rPr>
        <w:t>
      4) depreciation deductions of fixed assets and intangible assets;</w:t>
      </w:r>
    </w:p>
    <w:p>
      <w:pPr>
        <w:spacing w:after="0"/>
        <w:ind w:left="0"/>
        <w:jc w:val="both"/>
      </w:pPr>
      <w:r>
        <w:rPr>
          <w:rFonts w:ascii="Times New Roman"/>
          <w:b w:val="false"/>
          <w:i w:val="false"/>
          <w:color w:val="000000"/>
          <w:sz w:val="28"/>
        </w:rPr>
        <w:t>
      5) repair costs that do not lead to an increase in the value of fixed assets;</w:t>
      </w:r>
    </w:p>
    <w:p>
      <w:pPr>
        <w:spacing w:after="0"/>
        <w:ind w:left="0"/>
        <w:jc w:val="both"/>
      </w:pPr>
      <w:r>
        <w:rPr>
          <w:rFonts w:ascii="Times New Roman"/>
          <w:b w:val="false"/>
          <w:i w:val="false"/>
          <w:color w:val="000000"/>
          <w:sz w:val="28"/>
        </w:rPr>
        <w:t>
      6)  costs of building maintenance and utility costs;</w:t>
      </w:r>
    </w:p>
    <w:p>
      <w:pPr>
        <w:spacing w:after="0"/>
        <w:ind w:left="0"/>
        <w:jc w:val="both"/>
      </w:pPr>
      <w:r>
        <w:rPr>
          <w:rFonts w:ascii="Times New Roman"/>
          <w:b w:val="false"/>
          <w:i w:val="false"/>
          <w:color w:val="000000"/>
          <w:sz w:val="28"/>
        </w:rPr>
        <w:t>
      7) expenses for maintenance of information systems, service maintenance under contracts with third parties;</w:t>
      </w:r>
    </w:p>
    <w:p>
      <w:pPr>
        <w:spacing w:after="0"/>
        <w:ind w:left="0"/>
        <w:jc w:val="both"/>
      </w:pPr>
      <w:r>
        <w:rPr>
          <w:rFonts w:ascii="Times New Roman"/>
          <w:b w:val="false"/>
          <w:i w:val="false"/>
          <w:color w:val="000000"/>
          <w:sz w:val="28"/>
        </w:rPr>
        <w:t>
      8) works, services of an industrial nature from third-party organizations related to the provision of universal communication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amended with paragraph 8-1 in accordance with the Order of the Minister of Digital Development, Innovations and Aerospace Industry of the Republic of Kazakhstan dated 05.10.2021 No. 343/НҚ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When calculating the cost of universal communication services, the authorized body shall not take into account the following costs:</w:t>
      </w:r>
    </w:p>
    <w:p>
      <w:pPr>
        <w:spacing w:after="0"/>
        <w:ind w:left="0"/>
        <w:jc w:val="both"/>
      </w:pPr>
      <w:r>
        <w:rPr>
          <w:rFonts w:ascii="Times New Roman"/>
          <w:b w:val="false"/>
          <w:i w:val="false"/>
          <w:color w:val="000000"/>
          <w:sz w:val="28"/>
        </w:rPr>
        <w:t>
      1) payments for excess emissions (discharges) of pollutants (if any);</w:t>
      </w:r>
    </w:p>
    <w:p>
      <w:pPr>
        <w:spacing w:after="0"/>
        <w:ind w:left="0"/>
        <w:jc w:val="both"/>
      </w:pPr>
      <w:r>
        <w:rPr>
          <w:rFonts w:ascii="Times New Roman"/>
          <w:b w:val="false"/>
          <w:i w:val="false"/>
          <w:color w:val="000000"/>
          <w:sz w:val="28"/>
        </w:rPr>
        <w:t>
      2) irrecoverable debts;</w:t>
      </w:r>
    </w:p>
    <w:p>
      <w:pPr>
        <w:spacing w:after="0"/>
        <w:ind w:left="0"/>
        <w:jc w:val="both"/>
      </w:pPr>
      <w:r>
        <w:rPr>
          <w:rFonts w:ascii="Times New Roman"/>
          <w:b w:val="false"/>
          <w:i w:val="false"/>
          <w:color w:val="000000"/>
          <w:sz w:val="28"/>
        </w:rPr>
        <w:t>
      3) fines, penalties, forfeits and other types of sanctions for violation of the terms of business contracts, legal costs;</w:t>
      </w:r>
    </w:p>
    <w:p>
      <w:pPr>
        <w:spacing w:after="0"/>
        <w:ind w:left="0"/>
        <w:jc w:val="both"/>
      </w:pPr>
      <w:r>
        <w:rPr>
          <w:rFonts w:ascii="Times New Roman"/>
          <w:b w:val="false"/>
          <w:i w:val="false"/>
          <w:color w:val="000000"/>
          <w:sz w:val="28"/>
        </w:rPr>
        <w:t>
      4) fines and penalties for concealment (understatement) of income;</w:t>
      </w:r>
    </w:p>
    <w:p>
      <w:pPr>
        <w:spacing w:after="0"/>
        <w:ind w:left="0"/>
        <w:jc w:val="both"/>
      </w:pPr>
      <w:r>
        <w:rPr>
          <w:rFonts w:ascii="Times New Roman"/>
          <w:b w:val="false"/>
          <w:i w:val="false"/>
          <w:color w:val="000000"/>
          <w:sz w:val="28"/>
        </w:rPr>
        <w:t>
      5) losses from theft;</w:t>
      </w:r>
    </w:p>
    <w:p>
      <w:pPr>
        <w:spacing w:after="0"/>
        <w:ind w:left="0"/>
        <w:jc w:val="both"/>
      </w:pPr>
      <w:r>
        <w:rPr>
          <w:rFonts w:ascii="Times New Roman"/>
          <w:b w:val="false"/>
          <w:i w:val="false"/>
          <w:color w:val="000000"/>
          <w:sz w:val="28"/>
        </w:rPr>
        <w:t>
      6) for the maintenance of healthcare facilities, children preschool organizations, educational institutions;</w:t>
      </w:r>
    </w:p>
    <w:p>
      <w:pPr>
        <w:spacing w:after="0"/>
        <w:ind w:left="0"/>
        <w:jc w:val="both"/>
      </w:pPr>
      <w:r>
        <w:rPr>
          <w:rFonts w:ascii="Times New Roman"/>
          <w:b w:val="false"/>
          <w:i w:val="false"/>
          <w:color w:val="000000"/>
          <w:sz w:val="28"/>
        </w:rPr>
        <w:t>
      7) for the maintenance of health camps, cultural and sports facilities, housing stock;</w:t>
      </w:r>
    </w:p>
    <w:p>
      <w:pPr>
        <w:spacing w:after="0"/>
        <w:ind w:left="0"/>
        <w:jc w:val="both"/>
      </w:pPr>
      <w:r>
        <w:rPr>
          <w:rFonts w:ascii="Times New Roman"/>
          <w:b w:val="false"/>
          <w:i w:val="false"/>
          <w:color w:val="000000"/>
          <w:sz w:val="28"/>
        </w:rPr>
        <w:t>
      8) for the repayment of loans, including interest-free loans received by employees of the organization for the improvement of living conditions;</w:t>
      </w:r>
    </w:p>
    <w:p>
      <w:pPr>
        <w:spacing w:after="0"/>
        <w:ind w:left="0"/>
        <w:jc w:val="both"/>
      </w:pPr>
      <w:r>
        <w:rPr>
          <w:rFonts w:ascii="Times New Roman"/>
          <w:b w:val="false"/>
          <w:i w:val="false"/>
          <w:color w:val="000000"/>
          <w:sz w:val="28"/>
        </w:rPr>
        <w:t>
      9) for holding cultural, educational, recreational and sports events;</w:t>
      </w:r>
    </w:p>
    <w:p>
      <w:pPr>
        <w:spacing w:after="0"/>
        <w:ind w:left="0"/>
        <w:jc w:val="both"/>
      </w:pPr>
      <w:r>
        <w:rPr>
          <w:rFonts w:ascii="Times New Roman"/>
          <w:b w:val="false"/>
          <w:i w:val="false"/>
          <w:color w:val="000000"/>
          <w:sz w:val="28"/>
        </w:rPr>
        <w:t>
      10) for the provision of sponsorship;</w:t>
      </w:r>
    </w:p>
    <w:p>
      <w:pPr>
        <w:spacing w:after="0"/>
        <w:ind w:left="0"/>
        <w:jc w:val="both"/>
      </w:pPr>
      <w:r>
        <w:rPr>
          <w:rFonts w:ascii="Times New Roman"/>
          <w:b w:val="false"/>
          <w:i w:val="false"/>
          <w:color w:val="000000"/>
          <w:sz w:val="28"/>
        </w:rPr>
        <w:t>
      11) for losses from a defect;</w:t>
      </w:r>
    </w:p>
    <w:p>
      <w:pPr>
        <w:spacing w:after="0"/>
        <w:ind w:left="0"/>
        <w:jc w:val="both"/>
      </w:pPr>
      <w:r>
        <w:rPr>
          <w:rFonts w:ascii="Times New Roman"/>
          <w:b w:val="false"/>
          <w:i w:val="false"/>
          <w:color w:val="000000"/>
          <w:sz w:val="28"/>
        </w:rPr>
        <w:t>
      12) for the purchase, lease and maintenance of apartments, residential buildings and structures, places in hostels and hotels for the personnel of telecom operators, with the exception of the shift organization of production;</w:t>
      </w:r>
    </w:p>
    <w:p>
      <w:pPr>
        <w:spacing w:after="0"/>
        <w:ind w:left="0"/>
        <w:jc w:val="both"/>
      </w:pPr>
      <w:r>
        <w:rPr>
          <w:rFonts w:ascii="Times New Roman"/>
          <w:b w:val="false"/>
          <w:i w:val="false"/>
          <w:color w:val="000000"/>
          <w:sz w:val="28"/>
        </w:rPr>
        <w:t>
      13) for the purchase of gifts for anniversaries or issued in the form of incentives for employees;</w:t>
      </w:r>
    </w:p>
    <w:p>
      <w:pPr>
        <w:spacing w:after="0"/>
        <w:ind w:left="0"/>
        <w:jc w:val="both"/>
      </w:pPr>
      <w:r>
        <w:rPr>
          <w:rFonts w:ascii="Times New Roman"/>
          <w:b w:val="false"/>
          <w:i w:val="false"/>
          <w:color w:val="000000"/>
          <w:sz w:val="28"/>
        </w:rPr>
        <w:t>
      14) for excess technical and commercial losses, damage and shortage of inventory items, stocks in warehouses and unproductive expenses;</w:t>
      </w:r>
    </w:p>
    <w:p>
      <w:pPr>
        <w:spacing w:after="0"/>
        <w:ind w:left="0"/>
        <w:jc w:val="both"/>
      </w:pPr>
      <w:r>
        <w:rPr>
          <w:rFonts w:ascii="Times New Roman"/>
          <w:b w:val="false"/>
          <w:i w:val="false"/>
          <w:color w:val="000000"/>
          <w:sz w:val="28"/>
        </w:rPr>
        <w:t>
      15) for conducting and organizing training courses, seminars, trainings, lectures, exhibitions, discussions, meetings with scientists and artists, scientific and technical conferences;</w:t>
      </w:r>
    </w:p>
    <w:p>
      <w:pPr>
        <w:spacing w:after="0"/>
        <w:ind w:left="0"/>
        <w:jc w:val="both"/>
      </w:pPr>
      <w:r>
        <w:rPr>
          <w:rFonts w:ascii="Times New Roman"/>
          <w:b w:val="false"/>
          <w:i w:val="false"/>
          <w:color w:val="000000"/>
          <w:sz w:val="28"/>
        </w:rPr>
        <w:t>
      16) for membership fees to public organizations and associations;</w:t>
      </w:r>
    </w:p>
    <w:p>
      <w:pPr>
        <w:spacing w:after="0"/>
        <w:ind w:left="0"/>
        <w:jc w:val="both"/>
      </w:pPr>
      <w:r>
        <w:rPr>
          <w:rFonts w:ascii="Times New Roman"/>
          <w:b w:val="false"/>
          <w:i w:val="false"/>
          <w:color w:val="000000"/>
          <w:sz w:val="28"/>
        </w:rPr>
        <w:t>
      17) to pay for package tours for employees and their children for treatment, rest, excursions at the expense of the telecom operator, except for the costs associated with the rehabilitation treatment of occupational diseases;</w:t>
      </w:r>
    </w:p>
    <w:p>
      <w:pPr>
        <w:spacing w:after="0"/>
        <w:ind w:left="0"/>
        <w:jc w:val="both"/>
      </w:pPr>
      <w:r>
        <w:rPr>
          <w:rFonts w:ascii="Times New Roman"/>
          <w:b w:val="false"/>
          <w:i w:val="false"/>
          <w:color w:val="000000"/>
          <w:sz w:val="28"/>
        </w:rPr>
        <w:t>
      18) for bonuses and incentives for administrative personnel based on the results of work for the year;</w:t>
      </w:r>
    </w:p>
    <w:p>
      <w:pPr>
        <w:spacing w:after="0"/>
        <w:ind w:left="0"/>
        <w:jc w:val="both"/>
      </w:pPr>
      <w:r>
        <w:rPr>
          <w:rFonts w:ascii="Times New Roman"/>
          <w:b w:val="false"/>
          <w:i w:val="false"/>
          <w:color w:val="000000"/>
          <w:sz w:val="28"/>
        </w:rPr>
        <w:t>
      19) insurance payments (contributions paid by the telecom operator under contracts of personal and property insurance concluded by the telecom operator in favor of its employees), with the exception of mandatory insurance payments established by the legislation of the Republic of Kazakhstan;</w:t>
      </w:r>
    </w:p>
    <w:p>
      <w:pPr>
        <w:spacing w:after="0"/>
        <w:ind w:left="0"/>
        <w:jc w:val="both"/>
      </w:pPr>
      <w:r>
        <w:rPr>
          <w:rFonts w:ascii="Times New Roman"/>
          <w:b w:val="false"/>
          <w:i w:val="false"/>
          <w:color w:val="000000"/>
          <w:sz w:val="28"/>
        </w:rPr>
        <w:t>
      20) for payment of additionally provided (in excess of the legislation) vacations to employees, including women raising children, payment for the travel of the employee's family members to the place of use of the vacation and back;</w:t>
      </w:r>
    </w:p>
    <w:p>
      <w:pPr>
        <w:spacing w:after="0"/>
        <w:ind w:left="0"/>
        <w:jc w:val="both"/>
      </w:pPr>
      <w:r>
        <w:rPr>
          <w:rFonts w:ascii="Times New Roman"/>
          <w:b w:val="false"/>
          <w:i w:val="false"/>
          <w:color w:val="000000"/>
          <w:sz w:val="28"/>
        </w:rPr>
        <w:t>
      21) benefits for employees of telecom operators;</w:t>
      </w:r>
    </w:p>
    <w:p>
      <w:pPr>
        <w:spacing w:after="0"/>
        <w:ind w:left="0"/>
        <w:jc w:val="both"/>
      </w:pPr>
      <w:r>
        <w:rPr>
          <w:rFonts w:ascii="Times New Roman"/>
          <w:b w:val="false"/>
          <w:i w:val="false"/>
          <w:color w:val="000000"/>
          <w:sz w:val="28"/>
        </w:rPr>
        <w:t>
      22) to compensate the cost of food for children in preschool institutions, sanatoriums and health camps;</w:t>
      </w:r>
    </w:p>
    <w:p>
      <w:pPr>
        <w:spacing w:after="0"/>
        <w:ind w:left="0"/>
        <w:jc w:val="both"/>
      </w:pPr>
      <w:r>
        <w:rPr>
          <w:rFonts w:ascii="Times New Roman"/>
          <w:b w:val="false"/>
          <w:i w:val="false"/>
          <w:color w:val="000000"/>
          <w:sz w:val="28"/>
        </w:rPr>
        <w:t>
      23) deductions to trade unions for the purposes determined by the collective agreement;</w:t>
      </w:r>
    </w:p>
    <w:p>
      <w:pPr>
        <w:spacing w:after="0"/>
        <w:ind w:left="0"/>
        <w:jc w:val="both"/>
      </w:pPr>
      <w:r>
        <w:rPr>
          <w:rFonts w:ascii="Times New Roman"/>
          <w:b w:val="false"/>
          <w:i w:val="false"/>
          <w:color w:val="000000"/>
          <w:sz w:val="28"/>
        </w:rPr>
        <w:t>
      24) for the services of consulting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amended with paragraph 8-2 in accordance with the Order of the Minister of Digital Development, Innovations and Aerospace Industry of the Republic of Kazakhstan dated 05.10.2021 No. 343/НҚ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amount of subsidies is determined by tender terms or conditions of imposing obligations for the provision of universal communications services on the Operator, it may not exceed the amount of subsidies provided for in the republican budget for the corresponding financial year, and is determined as the difference between expenditure and actual revenue from rendering unprofitable universal communications services.</w:t>
      </w:r>
    </w:p>
    <w:p>
      <w:pPr>
        <w:spacing w:after="0"/>
        <w:ind w:left="0"/>
        <w:jc w:val="both"/>
      </w:pPr>
      <w:r>
        <w:rPr>
          <w:rFonts w:ascii="Times New Roman"/>
          <w:b w:val="false"/>
          <w:i w:val="false"/>
          <w:color w:val="000000"/>
          <w:sz w:val="28"/>
        </w:rPr>
        <w:t>
      10. Losses of Operators providing universal communications services in rural areas are subject to subsidization, provided that it was determined by tender terms or conditions of imposing obligations for the provision of universal communications services on the Operator.</w:t>
      </w:r>
    </w:p>
    <w:p>
      <w:pPr>
        <w:spacing w:after="0"/>
        <w:ind w:left="0"/>
        <w:jc w:val="both"/>
      </w:pPr>
      <w:r>
        <w:rPr>
          <w:rFonts w:ascii="Times New Roman"/>
          <w:b w:val="false"/>
          <w:i w:val="false"/>
          <w:color w:val="000000"/>
          <w:sz w:val="28"/>
        </w:rPr>
        <w:t>
      11. Operators are paid subsidies on a quarterly basis for the actually rendered volume of universal communications services under an agreement between the authorized body and the Operator.</w:t>
      </w:r>
    </w:p>
    <w:p>
      <w:pPr>
        <w:spacing w:after="0"/>
        <w:ind w:left="0"/>
        <w:jc w:val="both"/>
      </w:pPr>
      <w:r>
        <w:rPr>
          <w:rFonts w:ascii="Times New Roman"/>
          <w:b w:val="false"/>
          <w:i w:val="false"/>
          <w:color w:val="000000"/>
          <w:sz w:val="28"/>
        </w:rPr>
        <w:t>
      12. Quarterly, by the 15th day of the first month of the quarter following the reporting one, the Operator submits data on actual volumes and quality of the universal communications services provided to the authorized body. Data for the fourth quarter are submitted until December 10 of the settlement year with account of forecast data over the last month of the quarter.</w:t>
      </w:r>
    </w:p>
    <w:p>
      <w:pPr>
        <w:spacing w:after="0"/>
        <w:ind w:left="0"/>
        <w:jc w:val="both"/>
      </w:pPr>
      <w:r>
        <w:rPr>
          <w:rFonts w:ascii="Times New Roman"/>
          <w:b w:val="false"/>
          <w:i w:val="false"/>
          <w:color w:val="000000"/>
          <w:sz w:val="28"/>
        </w:rPr>
        <w:t>
      13. In order to compensate losses to the Operators for the provision of universal communications services, the authorized body draws up a statement on the amount of subsidies.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