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9463" w14:textId="a2e9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creating provisions (reserves) in accordance with international standards of financial reporting and requirements of the legislation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December 22, 2017 No. 269. Registered with the Ministry of Justice of the Republic of Kazakhstan on March 5, 2018 No. 16502.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Code of the Republic of Kazakhstan “On taxes and other obligatory payments to the budget” (Tax Code) and the Law of the Republic of Kazakhstan “On State Statistics”,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December 30, 2023 No. 100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creating provisions (reserves) in accordance with international standards of financial reporting and requirements of the legislation of the Republic of Kazakhstan on accounting and financial reporting (hereinafter- the Rules).</w:t>
      </w:r>
    </w:p>
    <w:p>
      <w:pPr>
        <w:spacing w:after="0"/>
        <w:ind w:left="0"/>
        <w:jc w:val="both"/>
      </w:pPr>
      <w:r>
        <w:rPr>
          <w:rFonts w:ascii="Times New Roman"/>
          <w:b w:val="false"/>
          <w:i w:val="false"/>
          <w:color w:val="000000"/>
          <w:sz w:val="28"/>
        </w:rPr>
        <w:t>
      2. Banks (with the exception of the bank, being the national institute of development, which controlling stake belongs to the national managing holding) and organizations carrying out certain types of banking operations, within one month from the day of enforcement of this resolution, shall develop and approve the Methodology for calculating provisions (reserves ) according to the Rules.</w:t>
      </w:r>
    </w:p>
    <w:p>
      <w:pPr>
        <w:spacing w:after="0"/>
        <w:ind w:left="0"/>
        <w:jc w:val="both"/>
      </w:pPr>
      <w:r>
        <w:rPr>
          <w:rFonts w:ascii="Times New Roman"/>
          <w:b w:val="false"/>
          <w:i w:val="false"/>
          <w:color w:val="000000"/>
          <w:sz w:val="28"/>
        </w:rPr>
        <w:t>
      3. To recognize invalid some resolutions of the Board of the National Bank of the Republic of Kazakhstan according to the list in accordance with the Appendix to this resolution (not translated).</w:t>
      </w:r>
    </w:p>
    <w:p>
      <w:pPr>
        <w:spacing w:after="0"/>
        <w:ind w:left="0"/>
        <w:jc w:val="both"/>
      </w:pPr>
      <w:r>
        <w:rPr>
          <w:rFonts w:ascii="Times New Roman"/>
          <w:b w:val="false"/>
          <w:i w:val="false"/>
          <w:color w:val="000000"/>
          <w:sz w:val="28"/>
        </w:rPr>
        <w:t>
      4. The department of accounting (S.K. Rakhmetov),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(N.V. Sarsenova) the state registration of this resolution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sending its copy on paper and electronic form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of information on implementation of measures provided for in subparagraphs 2), 3) of this paragraph and paragraph 5 of this resolution to the Legal department.</w:t>
      </w:r>
    </w:p>
    <w:p>
      <w:pPr>
        <w:spacing w:after="0"/>
        <w:ind w:left="0"/>
        <w:jc w:val="both"/>
      </w:pPr>
      <w:r>
        <w:rPr>
          <w:rFonts w:ascii="Times New Roman"/>
          <w:b w:val="false"/>
          <w:i w:val="false"/>
          <w:color w:val="000000"/>
          <w:sz w:val="28"/>
        </w:rPr>
        <w:t>
      5. The administration for protection of the rights of consumers of financial services and external communications (A.T. Terentyev) shall ensure, within ten calendar days after the state registration of this resolution, sending of its copy for official publication in periodicals.</w:t>
      </w:r>
    </w:p>
    <w:p>
      <w:pPr>
        <w:spacing w:after="0"/>
        <w:ind w:left="0"/>
        <w:jc w:val="both"/>
      </w:pPr>
      <w:r>
        <w:rPr>
          <w:rFonts w:ascii="Times New Roman"/>
          <w:b w:val="false"/>
          <w:i w:val="false"/>
          <w:color w:val="000000"/>
          <w:sz w:val="28"/>
        </w:rPr>
        <w:t>
      6. Control over execution of this resolution shall be imposed on the deputy chairman of the National Bank of the Republic of Kazakhstan, D.T. Galiev.</w:t>
      </w:r>
    </w:p>
    <w:p>
      <w:pPr>
        <w:spacing w:after="0"/>
        <w:ind w:left="0"/>
        <w:jc w:val="both"/>
      </w:pPr>
      <w:r>
        <w:rPr>
          <w:rFonts w:ascii="Times New Roman"/>
          <w:b w:val="false"/>
          <w:i w:val="false"/>
          <w:color w:val="000000"/>
          <w:sz w:val="28"/>
        </w:rPr>
        <w:t>
      7. This resolution shall be enforced upon expiry of ten calendar days after its first official publication and apply to relations arising from January 1, 2018.</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 B. Sultanov</w:t>
      </w:r>
    </w:p>
    <w:p>
      <w:pPr>
        <w:spacing w:after="0"/>
        <w:ind w:left="0"/>
        <w:jc w:val="both"/>
      </w:pPr>
      <w:r>
        <w:rPr>
          <w:rFonts w:ascii="Times New Roman"/>
          <w:b w:val="false"/>
          <w:i w:val="false"/>
          <w:color w:val="000000"/>
          <w:sz w:val="28"/>
        </w:rPr>
        <w:t>February 20,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 Committee on statistics</w:t>
      </w:r>
    </w:p>
    <w:p>
      <w:pPr>
        <w:spacing w:after="0"/>
        <w:ind w:left="0"/>
        <w:jc w:val="both"/>
      </w:pPr>
      <w:r>
        <w:rPr>
          <w:rFonts w:ascii="Times New Roman"/>
          <w:b w:val="false"/>
          <w:i w:val="false"/>
          <w:color w:val="000000"/>
          <w:sz w:val="28"/>
        </w:rPr>
        <w:t>of the 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N. Aydapkelov</w:t>
      </w:r>
    </w:p>
    <w:p>
      <w:pPr>
        <w:spacing w:after="0"/>
        <w:ind w:left="0"/>
        <w:jc w:val="both"/>
      </w:pPr>
      <w:r>
        <w:rPr>
          <w:rFonts w:ascii="Times New Roman"/>
          <w:b w:val="false"/>
          <w:i w:val="false"/>
          <w:color w:val="000000"/>
          <w:sz w:val="28"/>
        </w:rPr>
        <w:t>February 16,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December 22, 2017 No. 269</w:t>
            </w:r>
          </w:p>
        </w:tc>
      </w:tr>
    </w:tbl>
    <w:p>
      <w:pPr>
        <w:spacing w:after="0"/>
        <w:ind w:left="0"/>
        <w:jc w:val="left"/>
      </w:pPr>
      <w:r>
        <w:rPr>
          <w:rFonts w:ascii="Times New Roman"/>
          <w:b/>
          <w:i w:val="false"/>
          <w:color w:val="000000"/>
        </w:rPr>
        <w:t xml:space="preserve"> Rules for creating provisions (reserves) in accordance with international standards of</w:t>
      </w:r>
      <w:r>
        <w:br/>
      </w:r>
      <w:r>
        <w:rPr>
          <w:rFonts w:ascii="Times New Roman"/>
          <w:b/>
          <w:i w:val="false"/>
          <w:color w:val="000000"/>
        </w:rPr>
        <w:t>financial reporting and requirements of the legislation of the Republic of Kazakhstan on</w:t>
      </w:r>
      <w:r>
        <w:br/>
      </w:r>
      <w:r>
        <w:rPr>
          <w:rFonts w:ascii="Times New Roman"/>
          <w:b/>
          <w:i w:val="false"/>
          <w:color w:val="000000"/>
        </w:rPr>
        <w:t>accounting and financial reporting</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creation of provisions (reserves) in accordance with international financial reporting standards and the requirements of the legislation of the Republic of Kazakhstan on accounting and financial reporting (hereinafter referred to as the Rules) have been developed in accordance with the Code of the Republic of Kazakhstan “On taxes and other obligatory payments to the budget” (Tax Code), the Law of the Republic of Kazakhstan “On State Statistics” and shall determine the procedure for creating provisions (reserves) in accordance with international financial reporting standards and the requirements of the legislation of the Republic of Kazakhstan on accounting and financial reporting for banks (with the exception of a bank that is a national development institution, the controlling stake of which belongs to the national management holding), branches of non-resident banks of the Republic of Kazakhstan and organizations carrying out certain types of banking operations on the basis of a license to conduct bank lending operations (hereinafter referred to as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December 30, 2023 No. 100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insufficient receipt of money - the difference between the cash flows due to the financial institution in accordance with the agreement and the cash flows that the financial institution expects to receive;</w:t>
      </w:r>
    </w:p>
    <w:p>
      <w:pPr>
        <w:spacing w:after="0"/>
        <w:ind w:left="0"/>
        <w:jc w:val="both"/>
      </w:pPr>
      <w:r>
        <w:rPr>
          <w:rFonts w:ascii="Times New Roman"/>
          <w:b w:val="false"/>
          <w:i w:val="false"/>
          <w:color w:val="000000"/>
          <w:sz w:val="28"/>
        </w:rPr>
        <w:t>
      2) debt - the amount of a claim outstanding by the borrower in the form of a principal debt, accrued remuneration and (or) other payments in accordance with the terms of the loan agreement;</w:t>
      </w:r>
    </w:p>
    <w:p>
      <w:pPr>
        <w:spacing w:after="0"/>
        <w:ind w:left="0"/>
        <w:jc w:val="both"/>
      </w:pPr>
      <w:r>
        <w:rPr>
          <w:rFonts w:ascii="Times New Roman"/>
          <w:b w:val="false"/>
          <w:i w:val="false"/>
          <w:color w:val="000000"/>
          <w:sz w:val="28"/>
        </w:rPr>
        <w:t>
      3) homogeneous financial assets - a group of financial assets with similar credit risk characteristics;</w:t>
      </w:r>
    </w:p>
    <w:p>
      <w:pPr>
        <w:spacing w:after="0"/>
        <w:ind w:left="0"/>
        <w:jc w:val="both"/>
      </w:pPr>
      <w:r>
        <w:rPr>
          <w:rFonts w:ascii="Times New Roman"/>
          <w:b w:val="false"/>
          <w:i w:val="false"/>
          <w:color w:val="000000"/>
          <w:sz w:val="28"/>
        </w:rPr>
        <w:t>
      4) default - the presence of overdue (overdue) payment (s) for a period of more than 90 (ninety) calendar days, or the presence of one or more situations provided for by this sub-paragraph. For the purpose of determining default, the financial institution shall accept the following situations:</w:t>
      </w:r>
    </w:p>
    <w:p>
      <w:pPr>
        <w:spacing w:after="0"/>
        <w:ind w:left="0"/>
        <w:jc w:val="both"/>
      </w:pPr>
      <w:r>
        <w:rPr>
          <w:rFonts w:ascii="Times New Roman"/>
          <w:b w:val="false"/>
          <w:i w:val="false"/>
          <w:color w:val="000000"/>
          <w:sz w:val="28"/>
        </w:rPr>
        <w:t>
      the presence of overdue debt for a period of more than 90 (ninety) days on other loans of the borrower in the bank;</w:t>
      </w:r>
    </w:p>
    <w:p>
      <w:pPr>
        <w:spacing w:after="0"/>
        <w:ind w:left="0"/>
        <w:jc w:val="both"/>
      </w:pPr>
      <w:r>
        <w:rPr>
          <w:rFonts w:ascii="Times New Roman"/>
          <w:b w:val="false"/>
          <w:i w:val="false"/>
          <w:color w:val="000000"/>
          <w:sz w:val="28"/>
        </w:rPr>
        <w:t>
      the presence of overdue debt for a period of more than 90 (ninety) days on loans from other banks, as an indicator of the deterioration of the borrower's financial condition;</w:t>
      </w:r>
    </w:p>
    <w:p>
      <w:pPr>
        <w:spacing w:after="0"/>
        <w:ind w:left="0"/>
        <w:jc w:val="both"/>
      </w:pPr>
      <w:r>
        <w:rPr>
          <w:rFonts w:ascii="Times New Roman"/>
          <w:b w:val="false"/>
          <w:i w:val="false"/>
          <w:color w:val="000000"/>
          <w:sz w:val="28"/>
        </w:rPr>
        <w:t>
      suspension of the accrual of loan remuneration due to the deterioration of the borrower's financial condition;</w:t>
      </w:r>
    </w:p>
    <w:p>
      <w:pPr>
        <w:spacing w:after="0"/>
        <w:ind w:left="0"/>
        <w:jc w:val="both"/>
      </w:pPr>
      <w:r>
        <w:rPr>
          <w:rFonts w:ascii="Times New Roman"/>
          <w:b w:val="false"/>
          <w:i w:val="false"/>
          <w:color w:val="000000"/>
          <w:sz w:val="28"/>
        </w:rPr>
        <w:t>
      writing off part and/or all of the borrower's debt, which shall be caused by a significant increase in credit risk since the loan has been granted;</w:t>
      </w:r>
    </w:p>
    <w:p>
      <w:pPr>
        <w:spacing w:after="0"/>
        <w:ind w:left="0"/>
        <w:jc w:val="both"/>
      </w:pPr>
      <w:r>
        <w:rPr>
          <w:rFonts w:ascii="Times New Roman"/>
          <w:b w:val="false"/>
          <w:i w:val="false"/>
          <w:color w:val="000000"/>
          <w:sz w:val="28"/>
        </w:rPr>
        <w:t>
      the sale of loans at a significant discount;</w:t>
      </w:r>
    </w:p>
    <w:p>
      <w:pPr>
        <w:spacing w:after="0"/>
        <w:ind w:left="0"/>
        <w:jc w:val="both"/>
      </w:pPr>
      <w:r>
        <w:rPr>
          <w:rFonts w:ascii="Times New Roman"/>
          <w:b w:val="false"/>
          <w:i w:val="false"/>
          <w:color w:val="000000"/>
          <w:sz w:val="28"/>
        </w:rPr>
        <w:t xml:space="preserve">
      forced loan restructuring; </w:t>
      </w:r>
    </w:p>
    <w:p>
      <w:pPr>
        <w:spacing w:after="0"/>
        <w:ind w:left="0"/>
        <w:jc w:val="both"/>
      </w:pPr>
      <w:r>
        <w:rPr>
          <w:rFonts w:ascii="Times New Roman"/>
          <w:b w:val="false"/>
          <w:i w:val="false"/>
          <w:color w:val="000000"/>
          <w:sz w:val="28"/>
        </w:rPr>
        <w:t>
      filing a claim to declare the borrower bankrupt in accordance with the Law of the Republic of Kazakhstan "On rehabilitation and bankruptcy" (hereinafter referred to as the Law on rehabilitation and bankruptcy);</w:t>
      </w:r>
    </w:p>
    <w:p>
      <w:pPr>
        <w:spacing w:after="0"/>
        <w:ind w:left="0"/>
        <w:jc w:val="both"/>
      </w:pPr>
      <w:r>
        <w:rPr>
          <w:rFonts w:ascii="Times New Roman"/>
          <w:b w:val="false"/>
          <w:i w:val="false"/>
          <w:color w:val="000000"/>
          <w:sz w:val="28"/>
        </w:rPr>
        <w:t xml:space="preserve">
      applying to the court to declare him bankrupt in accordance with the Rehabilitation and bankruptcy Law; </w:t>
      </w:r>
    </w:p>
    <w:p>
      <w:pPr>
        <w:spacing w:after="0"/>
        <w:ind w:left="0"/>
        <w:jc w:val="both"/>
      </w:pPr>
      <w:r>
        <w:rPr>
          <w:rFonts w:ascii="Times New Roman"/>
          <w:b w:val="false"/>
          <w:i w:val="false"/>
          <w:color w:val="000000"/>
          <w:sz w:val="28"/>
        </w:rPr>
        <w:t>
      other situations complying with the international financial reporting standard 9 "Financial instruments" (hereinafter referred to as IFRS 9) and provided for by the Procedure for calculation of provisions (provisions) approved in accordance with the Rules;</w:t>
      </w:r>
    </w:p>
    <w:p>
      <w:pPr>
        <w:spacing w:after="0"/>
        <w:ind w:left="0"/>
        <w:jc w:val="both"/>
      </w:pPr>
      <w:r>
        <w:rPr>
          <w:rFonts w:ascii="Times New Roman"/>
          <w:b w:val="false"/>
          <w:i w:val="false"/>
          <w:color w:val="000000"/>
          <w:sz w:val="28"/>
        </w:rPr>
        <w:t>
      5) an individual financial asset shall be a financial asset whose gross book value at the reporting date exceeds 0.2 (zero point two) percent of equity according to the financial statements, but not less than fifty million tenge, or a financial asset that represents a requirement for an interconnected party.</w:t>
      </w:r>
    </w:p>
    <w:p>
      <w:pPr>
        <w:spacing w:after="0"/>
        <w:ind w:left="0"/>
        <w:jc w:val="both"/>
      </w:pPr>
      <w:r>
        <w:rPr>
          <w:rFonts w:ascii="Times New Roman"/>
          <w:b w:val="false"/>
          <w:i w:val="false"/>
          <w:color w:val="000000"/>
          <w:sz w:val="28"/>
        </w:rPr>
        <w:t>
      It shall be allowed for a financial institution to establish, in addition to the criteria provided for in this subparagraph, additional criteria for classifying a financial asset as individual.</w:t>
      </w:r>
    </w:p>
    <w:p>
      <w:pPr>
        <w:spacing w:after="0"/>
        <w:ind w:left="0"/>
        <w:jc w:val="both"/>
      </w:pPr>
      <w:r>
        <w:rPr>
          <w:rFonts w:ascii="Times New Roman"/>
          <w:b w:val="false"/>
          <w:i w:val="false"/>
          <w:color w:val="000000"/>
          <w:sz w:val="28"/>
        </w:rPr>
        <w:t>
      It shall be allowed for a financial institution to determine a different ratio of the gross book value of a financial asset to equity, but not more than 0.2 (zero whole two tenths) percent of equity.</w:t>
      </w:r>
    </w:p>
    <w:p>
      <w:pPr>
        <w:spacing w:after="0"/>
        <w:ind w:left="0"/>
        <w:jc w:val="both"/>
      </w:pPr>
      <w:r>
        <w:rPr>
          <w:rFonts w:ascii="Times New Roman"/>
          <w:b w:val="false"/>
          <w:i w:val="false"/>
          <w:color w:val="000000"/>
          <w:sz w:val="28"/>
        </w:rPr>
        <w:t>
      For branches of non-resident banks of the Republic of Kazakhstan, equity means the amount of the head office account, reserves and results of the non-resident bank branch of the Republic of Kazakhstan;</w:t>
      </w:r>
    </w:p>
    <w:p>
      <w:pPr>
        <w:spacing w:after="0"/>
        <w:ind w:left="0"/>
        <w:jc w:val="both"/>
      </w:pPr>
      <w:r>
        <w:rPr>
          <w:rFonts w:ascii="Times New Roman"/>
          <w:b w:val="false"/>
          <w:i w:val="false"/>
          <w:color w:val="000000"/>
          <w:sz w:val="28"/>
        </w:rPr>
        <w:t>
      6) counterparty - a person under an agreement who is not a financial institution that forms provisions (reserves) under this agreement;</w:t>
      </w:r>
    </w:p>
    <w:p>
      <w:pPr>
        <w:spacing w:after="0"/>
        <w:ind w:left="0"/>
        <w:jc w:val="both"/>
      </w:pPr>
      <w:r>
        <w:rPr>
          <w:rFonts w:ascii="Times New Roman"/>
          <w:b w:val="false"/>
          <w:i w:val="false"/>
          <w:color w:val="000000"/>
          <w:sz w:val="28"/>
        </w:rPr>
        <w:t>
      7) Credit-impaired financial asset - a financial asset for which there shall be signs of impairment that meet the criteria of IFRS 9;</w:t>
      </w:r>
    </w:p>
    <w:p>
      <w:pPr>
        <w:spacing w:after="0"/>
        <w:ind w:left="0"/>
        <w:jc w:val="both"/>
      </w:pPr>
      <w:r>
        <w:rPr>
          <w:rFonts w:ascii="Times New Roman"/>
          <w:b w:val="false"/>
          <w:i w:val="false"/>
          <w:color w:val="000000"/>
          <w:sz w:val="28"/>
        </w:rPr>
        <w:t>
      8) credit scoring - assessment of the borrower's creditworthiness based on qualitative and quantitative characteristics;</w:t>
      </w:r>
    </w:p>
    <w:p>
      <w:pPr>
        <w:spacing w:after="0"/>
        <w:ind w:left="0"/>
        <w:jc w:val="both"/>
      </w:pPr>
      <w:r>
        <w:rPr>
          <w:rFonts w:ascii="Times New Roman"/>
          <w:b w:val="false"/>
          <w:i w:val="false"/>
          <w:color w:val="000000"/>
          <w:sz w:val="28"/>
        </w:rPr>
        <w:t xml:space="preserve">
      9) amortised cost of a financial asset - the amount in which the financial asset shall be measured at initial recognition, minus payments to the principal amount, plus (minus) the amount of accumulated depreciation of the discount (premium) calculated using the effective interest method, and adjusted for the estimated provision for losses; </w:t>
      </w:r>
    </w:p>
    <w:p>
      <w:pPr>
        <w:spacing w:after="0"/>
        <w:ind w:left="0"/>
        <w:jc w:val="both"/>
      </w:pPr>
      <w:r>
        <w:rPr>
          <w:rFonts w:ascii="Times New Roman"/>
          <w:b w:val="false"/>
          <w:i w:val="false"/>
          <w:color w:val="000000"/>
          <w:sz w:val="28"/>
        </w:rPr>
        <w:t>
      10) gross book value of a financial asset - amortized cost of a financial asset before adjustment by the value of the estimated provision for losses;</w:t>
      </w:r>
    </w:p>
    <w:p>
      <w:pPr>
        <w:spacing w:after="0"/>
        <w:ind w:left="0"/>
        <w:jc w:val="both"/>
      </w:pPr>
      <w:r>
        <w:rPr>
          <w:rFonts w:ascii="Times New Roman"/>
          <w:b w:val="false"/>
          <w:i w:val="false"/>
          <w:color w:val="000000"/>
          <w:sz w:val="28"/>
        </w:rPr>
        <w:t>
      11) loan restructuring - any change in the procedure and terms of the loan agreement;</w:t>
      </w:r>
    </w:p>
    <w:p>
      <w:pPr>
        <w:spacing w:after="0"/>
        <w:ind w:left="0"/>
        <w:jc w:val="both"/>
      </w:pPr>
      <w:r>
        <w:rPr>
          <w:rFonts w:ascii="Times New Roman"/>
          <w:b w:val="false"/>
          <w:i w:val="false"/>
          <w:color w:val="000000"/>
          <w:sz w:val="28"/>
        </w:rPr>
        <w:t>
      12) forced restructuring - restructuring and one of the following:</w:t>
      </w:r>
    </w:p>
    <w:p>
      <w:pPr>
        <w:spacing w:after="0"/>
        <w:ind w:left="0"/>
        <w:jc w:val="both"/>
      </w:pPr>
      <w:r>
        <w:rPr>
          <w:rFonts w:ascii="Times New Roman"/>
          <w:b w:val="false"/>
          <w:i w:val="false"/>
          <w:color w:val="000000"/>
          <w:sz w:val="28"/>
        </w:rPr>
        <w:t>
      provision or extension of the grace period for payments of principal and/or remuneration for a period of more than 30 (thirty) calendar days;</w:t>
      </w:r>
    </w:p>
    <w:p>
      <w:pPr>
        <w:spacing w:after="0"/>
        <w:ind w:left="0"/>
        <w:jc w:val="both"/>
      </w:pPr>
      <w:r>
        <w:rPr>
          <w:rFonts w:ascii="Times New Roman"/>
          <w:b w:val="false"/>
          <w:i w:val="false"/>
          <w:color w:val="000000"/>
          <w:sz w:val="28"/>
        </w:rPr>
        <w:t>
      extension of the loan term - deferral of one or more loan payments for a period of more than 30 (thirty) calendar days;</w:t>
      </w:r>
    </w:p>
    <w:p>
      <w:pPr>
        <w:spacing w:after="0"/>
        <w:ind w:left="0"/>
        <w:jc w:val="both"/>
      </w:pPr>
      <w:r>
        <w:rPr>
          <w:rFonts w:ascii="Times New Roman"/>
          <w:b w:val="false"/>
          <w:i w:val="false"/>
          <w:color w:val="000000"/>
          <w:sz w:val="28"/>
        </w:rPr>
        <w:t>
      cancellation or forgiveness of part of the principal and/or loan remuneration;</w:t>
      </w:r>
    </w:p>
    <w:p>
      <w:pPr>
        <w:spacing w:after="0"/>
        <w:ind w:left="0"/>
        <w:jc w:val="both"/>
      </w:pPr>
      <w:r>
        <w:rPr>
          <w:rFonts w:ascii="Times New Roman"/>
          <w:b w:val="false"/>
          <w:i w:val="false"/>
          <w:color w:val="000000"/>
          <w:sz w:val="28"/>
        </w:rPr>
        <w:t>
      capitalization of overdue remuneration payments;</w:t>
      </w:r>
    </w:p>
    <w:p>
      <w:pPr>
        <w:spacing w:after="0"/>
        <w:ind w:left="0"/>
        <w:jc w:val="both"/>
      </w:pPr>
      <w:r>
        <w:rPr>
          <w:rFonts w:ascii="Times New Roman"/>
          <w:b w:val="false"/>
          <w:i w:val="false"/>
          <w:color w:val="000000"/>
          <w:sz w:val="28"/>
        </w:rPr>
        <w:t>
      change (conversion) of the loan currency from one currency to another with capitalization of overdue remuneration debt;</w:t>
      </w:r>
    </w:p>
    <w:p>
      <w:pPr>
        <w:spacing w:after="0"/>
        <w:ind w:left="0"/>
        <w:jc w:val="both"/>
      </w:pPr>
      <w:r>
        <w:rPr>
          <w:rFonts w:ascii="Times New Roman"/>
          <w:b w:val="false"/>
          <w:i w:val="false"/>
          <w:color w:val="000000"/>
          <w:sz w:val="28"/>
        </w:rPr>
        <w:t>
      provision of a new loan for payment of overdue and (or) unterminated loan debt at the bank;</w:t>
      </w:r>
    </w:p>
    <w:p>
      <w:pPr>
        <w:spacing w:after="0"/>
        <w:ind w:left="0"/>
        <w:jc w:val="both"/>
      </w:pPr>
      <w:r>
        <w:rPr>
          <w:rFonts w:ascii="Times New Roman"/>
          <w:b w:val="false"/>
          <w:i w:val="false"/>
          <w:color w:val="000000"/>
          <w:sz w:val="28"/>
        </w:rPr>
        <w:t>
      increase of credit limit in case of overdue loan debt;</w:t>
      </w:r>
    </w:p>
    <w:p>
      <w:pPr>
        <w:spacing w:after="0"/>
        <w:ind w:left="0"/>
        <w:jc w:val="both"/>
      </w:pPr>
      <w:r>
        <w:rPr>
          <w:rFonts w:ascii="Times New Roman"/>
          <w:b w:val="false"/>
          <w:i w:val="false"/>
          <w:color w:val="000000"/>
          <w:sz w:val="28"/>
        </w:rPr>
        <w:t>
      reduction of the loan debt as a result of repayment of the debt amount, at the expense of the borrower's collateral property transferred to the financial institution;</w:t>
      </w:r>
    </w:p>
    <w:p>
      <w:pPr>
        <w:spacing w:after="0"/>
        <w:ind w:left="0"/>
        <w:jc w:val="both"/>
      </w:pPr>
      <w:r>
        <w:rPr>
          <w:rFonts w:ascii="Times New Roman"/>
          <w:b w:val="false"/>
          <w:i w:val="false"/>
          <w:color w:val="000000"/>
          <w:sz w:val="28"/>
        </w:rPr>
        <w:t>
      the existence of a deterioration in the financial condition of the borrower in accordance with the internal rating model;</w:t>
      </w:r>
    </w:p>
    <w:p>
      <w:pPr>
        <w:spacing w:after="0"/>
        <w:ind w:left="0"/>
        <w:jc w:val="both"/>
      </w:pPr>
      <w:r>
        <w:rPr>
          <w:rFonts w:ascii="Times New Roman"/>
          <w:b w:val="false"/>
          <w:i w:val="false"/>
          <w:color w:val="000000"/>
          <w:sz w:val="28"/>
        </w:rPr>
        <w:t>
      the financial institution shall predict that the borrower's cash flows shall not be sufficient to cover contractual obligations to the financial institution (including principal and remuneration);</w:t>
      </w:r>
    </w:p>
    <w:p>
      <w:pPr>
        <w:spacing w:after="0"/>
        <w:ind w:left="0"/>
        <w:jc w:val="both"/>
      </w:pPr>
      <w:r>
        <w:rPr>
          <w:rFonts w:ascii="Times New Roman"/>
          <w:b w:val="false"/>
          <w:i w:val="false"/>
          <w:color w:val="000000"/>
          <w:sz w:val="28"/>
        </w:rPr>
        <w:t>
      presence of overdue debt on principal and/or remuneration for a period of more than 30 (thirty) calendar days;</w:t>
      </w:r>
    </w:p>
    <w:p>
      <w:pPr>
        <w:spacing w:after="0"/>
        <w:ind w:left="0"/>
        <w:jc w:val="both"/>
      </w:pPr>
      <w:r>
        <w:rPr>
          <w:rFonts w:ascii="Times New Roman"/>
          <w:b w:val="false"/>
          <w:i w:val="false"/>
          <w:color w:val="000000"/>
          <w:sz w:val="28"/>
        </w:rPr>
        <w:t>
      the borrower shall have no overdue obligations and the financial institution has reasonable and confirmed information that the borrower will violate the terms of payment for its obligations without granting him preferential terms for the loan;</w:t>
      </w:r>
    </w:p>
    <w:p>
      <w:pPr>
        <w:spacing w:after="0"/>
        <w:ind w:left="0"/>
        <w:jc w:val="both"/>
      </w:pPr>
      <w:r>
        <w:rPr>
          <w:rFonts w:ascii="Times New Roman"/>
          <w:b w:val="false"/>
          <w:i w:val="false"/>
          <w:color w:val="000000"/>
          <w:sz w:val="28"/>
        </w:rPr>
        <w:t>
      transfer of the part of the borrower's debt that contains signs of impairment;</w:t>
      </w:r>
    </w:p>
    <w:p>
      <w:pPr>
        <w:spacing w:after="0"/>
        <w:ind w:left="0"/>
        <w:jc w:val="both"/>
      </w:pPr>
      <w:r>
        <w:rPr>
          <w:rFonts w:ascii="Times New Roman"/>
          <w:b w:val="false"/>
          <w:i w:val="false"/>
          <w:color w:val="000000"/>
          <w:sz w:val="28"/>
        </w:rPr>
        <w:t>
      refinancing overdue debt, except for cases when the borrower's debt burden on a loan in a financial institution, including in other financial institutions, decreases;</w:t>
      </w:r>
    </w:p>
    <w:p>
      <w:pPr>
        <w:spacing w:after="0"/>
        <w:ind w:left="0"/>
        <w:jc w:val="both"/>
      </w:pPr>
      <w:r>
        <w:rPr>
          <w:rFonts w:ascii="Times New Roman"/>
          <w:b w:val="false"/>
          <w:i w:val="false"/>
          <w:color w:val="000000"/>
          <w:sz w:val="28"/>
        </w:rPr>
        <w:t>
      reducing the interest rate below the base rate of the National Bank of the Republic of Kazakhstan (in the national currency) since the last restructuring or issuance of a loan, due to the deterioration of the borrower's financial condition in accordance with the bank's internal regulatory documents;</w:t>
      </w:r>
    </w:p>
    <w:p>
      <w:pPr>
        <w:spacing w:after="0"/>
        <w:ind w:left="0"/>
        <w:jc w:val="both"/>
      </w:pPr>
      <w:r>
        <w:rPr>
          <w:rFonts w:ascii="Times New Roman"/>
          <w:b w:val="false"/>
          <w:i w:val="false"/>
          <w:color w:val="000000"/>
          <w:sz w:val="28"/>
        </w:rPr>
        <w:t>
      misuse of a loan in the amount of more than 25 (twenty-five) percent of the loan facility, except for the cases of financing for replenishment of working capital;</w:t>
      </w:r>
    </w:p>
    <w:p>
      <w:pPr>
        <w:spacing w:after="0"/>
        <w:ind w:left="0"/>
        <w:jc w:val="both"/>
      </w:pPr>
      <w:r>
        <w:rPr>
          <w:rFonts w:ascii="Times New Roman"/>
          <w:b w:val="false"/>
          <w:i w:val="false"/>
          <w:color w:val="000000"/>
          <w:sz w:val="28"/>
        </w:rPr>
        <w:t xml:space="preserve">
      in relation to the borrower and (or) persons who have contractual obligations with the borrower to pay off his debt, rehabilitation procedures shall be applied in accordance with the Law on rehabilitation and bankruptcy; </w:t>
      </w:r>
    </w:p>
    <w:p>
      <w:pPr>
        <w:spacing w:after="0"/>
        <w:ind w:left="0"/>
        <w:jc w:val="both"/>
      </w:pPr>
      <w:r>
        <w:rPr>
          <w:rFonts w:ascii="Times New Roman"/>
          <w:b w:val="false"/>
          <w:i w:val="false"/>
          <w:color w:val="000000"/>
          <w:sz w:val="28"/>
        </w:rPr>
        <w:t>
      the borrower's request for restructuring due to force majeure and (or) other circumstances, as a result of which the borrower's asset has been lost, at the expense of which the borrower serviced its obligations to the financial institution.</w:t>
      </w:r>
    </w:p>
    <w:p>
      <w:pPr>
        <w:spacing w:after="0"/>
        <w:ind w:left="0"/>
        <w:jc w:val="both"/>
      </w:pPr>
      <w:r>
        <w:rPr>
          <w:rFonts w:ascii="Times New Roman"/>
          <w:b w:val="false"/>
          <w:i w:val="false"/>
          <w:color w:val="000000"/>
          <w:sz w:val="28"/>
        </w:rPr>
        <w:t>
      Loan restructuring shall not be forced in the following cases:</w:t>
      </w:r>
    </w:p>
    <w:p>
      <w:pPr>
        <w:spacing w:after="0"/>
        <w:ind w:left="0"/>
        <w:jc w:val="both"/>
      </w:pPr>
      <w:r>
        <w:rPr>
          <w:rFonts w:ascii="Times New Roman"/>
          <w:b w:val="false"/>
          <w:i w:val="false"/>
          <w:color w:val="000000"/>
          <w:sz w:val="28"/>
        </w:rPr>
        <w:t>
      write-off, forgiveness, deferral, prolongation, change in currency, repayment schedule, loan remuneration rates were carried out within the framework of the requirements of the target government programs, including a decrease in the remuneration rate on market terms;</w:t>
      </w:r>
    </w:p>
    <w:p>
      <w:pPr>
        <w:spacing w:after="0"/>
        <w:ind w:left="0"/>
        <w:jc w:val="both"/>
      </w:pPr>
      <w:r>
        <w:rPr>
          <w:rFonts w:ascii="Times New Roman"/>
          <w:b w:val="false"/>
          <w:i w:val="false"/>
          <w:color w:val="000000"/>
          <w:sz w:val="28"/>
        </w:rPr>
        <w:t>
      partial early repayment of debt, change in the scheduled payment date (including loan terms) within a month, reduction in the loan term, change in the repayment method, change in the size of the base indicator for a loan with a floating rate of remuneration, transfer of the payment date within the same month by less than 30 (thirty) calendar days, if provided for by the terms of the contract, state programs;</w:t>
      </w:r>
    </w:p>
    <w:p>
      <w:pPr>
        <w:spacing w:after="0"/>
        <w:ind w:left="0"/>
        <w:jc w:val="both"/>
      </w:pPr>
      <w:r>
        <w:rPr>
          <w:rFonts w:ascii="Times New Roman"/>
          <w:b w:val="false"/>
          <w:i w:val="false"/>
          <w:color w:val="000000"/>
          <w:sz w:val="28"/>
        </w:rPr>
        <w:t>
      13) reasonable and corroborable information - information that shall be reasonably available as of the reporting date without excessive costs or efforts, including information on past events for a period of at least five (5) years, current qualitative and quantitative indicators and forecasts of future economic qualitative and quantitative indicators. In the absence of information for a period of at least five (5) years reasonably available as of the reporting date, the financial institution may use information for a shorter period, provided that information on past events for a period of at least five (5) years shall be subsequently accumulated. It shall be allowed to build forecast flows for individual financial assets on the basis of monitoring the financial condition of the counterparty for the last 3 (three) years or less if the financial institution carries out operating activities for less than 3 (three) years;</w:t>
      </w:r>
    </w:p>
    <w:p>
      <w:pPr>
        <w:spacing w:after="0"/>
        <w:ind w:left="0"/>
        <w:jc w:val="both"/>
      </w:pPr>
      <w:r>
        <w:rPr>
          <w:rFonts w:ascii="Times New Roman"/>
          <w:b w:val="false"/>
          <w:i w:val="false"/>
          <w:color w:val="000000"/>
          <w:sz w:val="28"/>
        </w:rPr>
        <w:t>
      14) provisions (reserves) - an estimated provision for expected and available credit losses on financial assets carried at amortised cost of the financial asset and at fair value through other comprehensive income, as well as an estimated liability for expected credit losses on contingent liabilities;</w:t>
      </w:r>
    </w:p>
    <w:p>
      <w:pPr>
        <w:spacing w:after="0"/>
        <w:ind w:left="0"/>
        <w:jc w:val="both"/>
      </w:pPr>
      <w:r>
        <w:rPr>
          <w:rFonts w:ascii="Times New Roman"/>
          <w:b w:val="false"/>
          <w:i w:val="false"/>
          <w:color w:val="000000"/>
          <w:sz w:val="28"/>
        </w:rPr>
        <w:t xml:space="preserve">
      15) acquired or created credit-impaired financial asset - acquired or created financial asset for which there has been evidence of impairment at the time of initial recognition; </w:t>
      </w:r>
    </w:p>
    <w:p>
      <w:pPr>
        <w:spacing w:after="0"/>
        <w:ind w:left="0"/>
        <w:jc w:val="both"/>
      </w:pPr>
      <w:r>
        <w:rPr>
          <w:rFonts w:ascii="Times New Roman"/>
          <w:b w:val="false"/>
          <w:i w:val="false"/>
          <w:color w:val="000000"/>
          <w:sz w:val="28"/>
        </w:rPr>
        <w:t>
      16) authorized body - authorized body for regulation, control and supervision of the financial market and financial organizations;</w:t>
      </w:r>
    </w:p>
    <w:p>
      <w:pPr>
        <w:spacing w:after="0"/>
        <w:ind w:left="0"/>
        <w:jc w:val="both"/>
      </w:pPr>
      <w:r>
        <w:rPr>
          <w:rFonts w:ascii="Times New Roman"/>
          <w:b w:val="false"/>
          <w:i w:val="false"/>
          <w:color w:val="000000"/>
          <w:sz w:val="28"/>
        </w:rPr>
        <w:t>
      17) contingent obligations - possible obligations under uncovered letters of credit, issued or confirmed guarantees;</w:t>
      </w:r>
    </w:p>
    <w:p>
      <w:pPr>
        <w:spacing w:after="0"/>
        <w:ind w:left="0"/>
        <w:jc w:val="both"/>
      </w:pPr>
      <w:r>
        <w:rPr>
          <w:rFonts w:ascii="Times New Roman"/>
          <w:b w:val="false"/>
          <w:i w:val="false"/>
          <w:color w:val="000000"/>
          <w:sz w:val="28"/>
        </w:rPr>
        <w:t>
      18) internal rating model - a model for assessing the creditworthiness of a borrower;</w:t>
      </w:r>
    </w:p>
    <w:p>
      <w:pPr>
        <w:spacing w:after="0"/>
        <w:ind w:left="0"/>
        <w:jc w:val="both"/>
      </w:pPr>
      <w:r>
        <w:rPr>
          <w:rFonts w:ascii="Times New Roman"/>
          <w:b w:val="false"/>
          <w:i w:val="false"/>
          <w:color w:val="000000"/>
          <w:sz w:val="28"/>
        </w:rPr>
        <w:t>
      19) the going-concern method shall be a valuation method based on the principle of "operating business," when it is expected that the borrower shall continue to create cash flows (going concern assumption);</w:t>
      </w:r>
    </w:p>
    <w:p>
      <w:pPr>
        <w:spacing w:after="0"/>
        <w:ind w:left="0"/>
        <w:jc w:val="both"/>
      </w:pPr>
      <w:r>
        <w:rPr>
          <w:rFonts w:ascii="Times New Roman"/>
          <w:b w:val="false"/>
          <w:i w:val="false"/>
          <w:color w:val="000000"/>
          <w:sz w:val="28"/>
        </w:rPr>
        <w:t xml:space="preserve">
      20) the "gone-concern" method shall be a valuation method based on the principle of "liquidation value," when the borrower's operating cash flows are expected to stop and the collateral is realized (assumption of zero cash flows from operating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Management Board of the Agency for Regulation and Development of the Financial Market of the Republic of Kazakhstan dated 28.10.2022 No. 78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Creating of provisions (reserves) in accordance with international standards of</w:t>
      </w:r>
      <w:r>
        <w:br/>
      </w:r>
      <w:r>
        <w:rPr>
          <w:rFonts w:ascii="Times New Roman"/>
          <w:b/>
          <w:i w:val="false"/>
          <w:color w:val="000000"/>
        </w:rPr>
        <w:t>financial reporting and requirements of the legislation of the Republic of Kazakhstan on</w:t>
      </w:r>
      <w:r>
        <w:br/>
      </w:r>
      <w:r>
        <w:rPr>
          <w:rFonts w:ascii="Times New Roman"/>
          <w:b/>
          <w:i w:val="false"/>
          <w:color w:val="000000"/>
        </w:rPr>
        <w:t>accounting and financial reporting</w:t>
      </w:r>
    </w:p>
    <w:p>
      <w:pPr>
        <w:spacing w:after="0"/>
        <w:ind w:left="0"/>
        <w:jc w:val="both"/>
      </w:pPr>
      <w:r>
        <w:rPr>
          <w:rFonts w:ascii="Times New Roman"/>
          <w:b w:val="false"/>
          <w:i w:val="false"/>
          <w:color w:val="000000"/>
          <w:sz w:val="28"/>
        </w:rPr>
        <w:t>
      3. Provisions (reserves) shall be created in accordance with IFRS 9 and the requirements of the legislation of the Republic of Kazakhstan on accounting and financial reporting.</w:t>
      </w:r>
    </w:p>
    <w:p>
      <w:pPr>
        <w:spacing w:after="0"/>
        <w:ind w:left="0"/>
        <w:jc w:val="both"/>
      </w:pPr>
      <w:r>
        <w:rPr>
          <w:rFonts w:ascii="Times New Roman"/>
          <w:b w:val="false"/>
          <w:i w:val="false"/>
          <w:color w:val="000000"/>
          <w:sz w:val="28"/>
        </w:rPr>
        <w:t>
      At the initial recognition of a financial asset, in order to decide whether to classify a financial asset as measured at amortised cost or as measured at fair value through other comprehensive income, an assessment is made of whether the cash flows of the financial asset meet the SPPI criterion (Solely Payments of Principal and Interest), that shall be, whether the terms of the contract of this financial asset provide for the occurrence of cash flows on time, which represent the payment of the principal amount and remuneration only.</w:t>
      </w:r>
    </w:p>
    <w:p>
      <w:pPr>
        <w:spacing w:after="0"/>
        <w:ind w:left="0"/>
        <w:jc w:val="both"/>
      </w:pPr>
      <w:r>
        <w:rPr>
          <w:rFonts w:ascii="Times New Roman"/>
          <w:b w:val="false"/>
          <w:i w:val="false"/>
          <w:color w:val="000000"/>
          <w:sz w:val="28"/>
        </w:rPr>
        <w:t>
      The quantitative and qualitative criteria of the SPPI test shall be established in the internal documents of the financial institution (hereinafter referred to as the SPPI Methodology).</w:t>
      </w:r>
    </w:p>
    <w:p>
      <w:pPr>
        <w:spacing w:after="0"/>
        <w:ind w:left="0"/>
        <w:jc w:val="both"/>
      </w:pPr>
      <w:r>
        <w:rPr>
          <w:rFonts w:ascii="Times New Roman"/>
          <w:b w:val="false"/>
          <w:i w:val="false"/>
          <w:color w:val="000000"/>
          <w:sz w:val="28"/>
        </w:rPr>
        <w:t>
      The SPPI method contains, but shall not be limited to:</w:t>
      </w:r>
    </w:p>
    <w:p>
      <w:pPr>
        <w:spacing w:after="0"/>
        <w:ind w:left="0"/>
        <w:jc w:val="both"/>
      </w:pPr>
      <w:r>
        <w:rPr>
          <w:rFonts w:ascii="Times New Roman"/>
          <w:b w:val="false"/>
          <w:i w:val="false"/>
          <w:color w:val="000000"/>
          <w:sz w:val="28"/>
        </w:rPr>
        <w:t>
      1) definition and criteria for passing the SPPI test;</w:t>
      </w:r>
    </w:p>
    <w:p>
      <w:pPr>
        <w:spacing w:after="0"/>
        <w:ind w:left="0"/>
        <w:jc w:val="both"/>
      </w:pPr>
      <w:r>
        <w:rPr>
          <w:rFonts w:ascii="Times New Roman"/>
          <w:b w:val="false"/>
          <w:i w:val="false"/>
          <w:color w:val="000000"/>
          <w:sz w:val="28"/>
        </w:rPr>
        <w:t>
      2) approach to estimating the modified time value of money;</w:t>
      </w:r>
    </w:p>
    <w:p>
      <w:pPr>
        <w:spacing w:after="0"/>
        <w:ind w:left="0"/>
        <w:jc w:val="both"/>
      </w:pPr>
      <w:r>
        <w:rPr>
          <w:rFonts w:ascii="Times New Roman"/>
          <w:b w:val="false"/>
          <w:i w:val="false"/>
          <w:color w:val="000000"/>
          <w:sz w:val="28"/>
        </w:rPr>
        <w:t>
      3) approaches and criteria for determining minimum characteristics (de minimis) that shall not affect the classification of a financial asset (the impact on contractual cash flows is insignificant);</w:t>
      </w:r>
    </w:p>
    <w:p>
      <w:pPr>
        <w:spacing w:after="0"/>
        <w:ind w:left="0"/>
        <w:jc w:val="both"/>
      </w:pPr>
      <w:r>
        <w:rPr>
          <w:rFonts w:ascii="Times New Roman"/>
          <w:b w:val="false"/>
          <w:i w:val="false"/>
          <w:color w:val="000000"/>
          <w:sz w:val="28"/>
        </w:rPr>
        <w:t>
      4) definition and criteria of non-recourse assets whose contractual cash flows are described as principal and consideration payments but are investments in specific assets or cash flows. Signs of such assets shall be, among other things, the low or zero level of the borrower's equity at the time of the loan, low or zero indicators of the borrower's operating activities at the time of the loan, investment purpose of the loan, financing of the development project, high probability that the loan payment will be made by a third party, financing the acquisition of a share in the capital of another company, refinancing a loan in another bank, the main part in the borrower's balance sheet shall be financial instruments;</w:t>
      </w:r>
    </w:p>
    <w:p>
      <w:pPr>
        <w:spacing w:after="0"/>
        <w:ind w:left="0"/>
        <w:jc w:val="both"/>
      </w:pPr>
      <w:r>
        <w:rPr>
          <w:rFonts w:ascii="Times New Roman"/>
          <w:b w:val="false"/>
          <w:i w:val="false"/>
          <w:color w:val="000000"/>
          <w:sz w:val="28"/>
        </w:rPr>
        <w:t>
      5) threshold values of the collateral coverage ratio (LTV), calculated as the ratio of the amount of claims at risk of default (EAD) to the cost of collateral, at which the passage of the SPPI test in relation to loans falling under the characteristics specified in subparagraph 4) of this paragraph of the Rules shall be determined;</w:t>
      </w:r>
    </w:p>
    <w:p>
      <w:pPr>
        <w:spacing w:after="0"/>
        <w:ind w:left="0"/>
        <w:jc w:val="both"/>
      </w:pPr>
      <w:r>
        <w:rPr>
          <w:rFonts w:ascii="Times New Roman"/>
          <w:b w:val="false"/>
          <w:i w:val="false"/>
          <w:color w:val="000000"/>
          <w:sz w:val="28"/>
        </w:rPr>
        <w:t>
      6) the procedure for passing the SPPI test in the multi-rank structure of obligations (analysis at the level of the credit line or separately for each tranche);</w:t>
      </w:r>
    </w:p>
    <w:p>
      <w:pPr>
        <w:spacing w:after="0"/>
        <w:ind w:left="0"/>
        <w:jc w:val="both"/>
      </w:pPr>
      <w:r>
        <w:rPr>
          <w:rFonts w:ascii="Times New Roman"/>
          <w:b w:val="false"/>
          <w:i w:val="false"/>
          <w:color w:val="000000"/>
          <w:sz w:val="28"/>
        </w:rPr>
        <w:t>
      7) an SPPI test questionnaire evaluating the information defined in subparagraphs 1), 2), 3), 4), 5) and 6) of this paragraph of the Rules, as well as the following characteristics of the financial asset (but not limited to) for the purpose of deciding whether to pass the SPPI test:</w:t>
      </w:r>
    </w:p>
    <w:p>
      <w:pPr>
        <w:spacing w:after="0"/>
        <w:ind w:left="0"/>
        <w:jc w:val="both"/>
      </w:pPr>
      <w:r>
        <w:rPr>
          <w:rFonts w:ascii="Times New Roman"/>
          <w:b w:val="false"/>
          <w:i w:val="false"/>
          <w:color w:val="000000"/>
          <w:sz w:val="28"/>
        </w:rPr>
        <w:t>
      Currency type and rate</w:t>
      </w:r>
    </w:p>
    <w:p>
      <w:pPr>
        <w:spacing w:after="0"/>
        <w:ind w:left="0"/>
        <w:jc w:val="both"/>
      </w:pPr>
      <w:r>
        <w:rPr>
          <w:rFonts w:ascii="Times New Roman"/>
          <w:b w:val="false"/>
          <w:i w:val="false"/>
          <w:color w:val="000000"/>
          <w:sz w:val="28"/>
        </w:rPr>
        <w:t xml:space="preserve">
      conditions for early repayment of the loan (prolongation).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Management Board of the Agency of the Republic of Kazakhstan for the Regulation and Development of the Financial Market dated 30.12.2021 No.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Expenses for provisions (reserves) created in accordance with IFRS 9 and requirements of the legislation of the Republic of Kazakhstan on accounting and financial reporting are determined in accordance with the Rules based on the Methodology for calculating provisions (reserves) agreed with the authorized body.</w:t>
      </w:r>
    </w:p>
    <w:p>
      <w:pPr>
        <w:spacing w:after="0"/>
        <w:ind w:left="0"/>
        <w:jc w:val="both"/>
      </w:pPr>
      <w:r>
        <w:rPr>
          <w:rFonts w:ascii="Times New Roman"/>
          <w:b w:val="false"/>
          <w:i w:val="false"/>
          <w:color w:val="000000"/>
          <w:sz w:val="28"/>
        </w:rPr>
        <w:t>
      5. Financial assets and contingent liabilities shall be classified as homogeneous and individual.</w:t>
      </w:r>
    </w:p>
    <w:p>
      <w:pPr>
        <w:spacing w:after="0"/>
        <w:ind w:left="0"/>
        <w:jc w:val="both"/>
      </w:pPr>
      <w:r>
        <w:rPr>
          <w:rFonts w:ascii="Times New Roman"/>
          <w:b w:val="false"/>
          <w:i w:val="false"/>
          <w:color w:val="000000"/>
          <w:sz w:val="28"/>
        </w:rPr>
        <w:t>
      Provisions for individual financial assets shall be calculated separately for each individual financial asset.</w:t>
      </w:r>
    </w:p>
    <w:p>
      <w:pPr>
        <w:spacing w:after="0"/>
        <w:ind w:left="0"/>
        <w:jc w:val="both"/>
      </w:pPr>
      <w:r>
        <w:rPr>
          <w:rFonts w:ascii="Times New Roman"/>
          <w:b w:val="false"/>
          <w:i w:val="false"/>
          <w:color w:val="000000"/>
          <w:sz w:val="28"/>
        </w:rPr>
        <w:t>
      For individual financial assets, for which there shall no be signs of impairment in accordance with the Methodology for calculating provisions (reserves), financial assets shall be grouped according to the general characteristics of credit risk established in the Methodology for calculating provisions (reserves), and provisions (reserves) shall be calculated in accordance with the Methodology for calculating provisions (reserves).</w:t>
      </w:r>
    </w:p>
    <w:p>
      <w:pPr>
        <w:spacing w:after="0"/>
        <w:ind w:left="0"/>
        <w:jc w:val="both"/>
      </w:pPr>
      <w:r>
        <w:rPr>
          <w:rFonts w:ascii="Times New Roman"/>
          <w:b w:val="false"/>
          <w:i w:val="false"/>
          <w:color w:val="000000"/>
          <w:sz w:val="28"/>
        </w:rPr>
        <w:t>
      Homogeneous financial assets and contingent liabilities shall be grouped on the basis of the general credit risk characteristics determined by the Provisions Calculation Method.</w:t>
      </w:r>
    </w:p>
    <w:p>
      <w:pPr>
        <w:spacing w:after="0"/>
        <w:ind w:left="0"/>
        <w:jc w:val="both"/>
      </w:pPr>
      <w:r>
        <w:rPr>
          <w:rFonts w:ascii="Times New Roman"/>
          <w:b w:val="false"/>
          <w:i w:val="false"/>
          <w:color w:val="000000"/>
          <w:sz w:val="28"/>
        </w:rPr>
        <w:t>
      The methodology for calculating provisions (reserves) shall contain justified and statistically confirmed segmentation of loans with homogeneous features (in the absence of sufficient statistics, expert justification of segmentation is allowed), as well as:</w:t>
      </w:r>
    </w:p>
    <w:p>
      <w:pPr>
        <w:spacing w:after="0"/>
        <w:ind w:left="0"/>
        <w:jc w:val="both"/>
      </w:pPr>
      <w:r>
        <w:rPr>
          <w:rFonts w:ascii="Times New Roman"/>
          <w:b w:val="false"/>
          <w:i w:val="false"/>
          <w:color w:val="000000"/>
          <w:sz w:val="28"/>
        </w:rPr>
        <w:t>
      1) list of criteria used for segmentation of loans with homogeneous characteristics (product type, maturity, industry and other criteria);</w:t>
      </w:r>
    </w:p>
    <w:p>
      <w:pPr>
        <w:spacing w:after="0"/>
        <w:ind w:left="0"/>
        <w:jc w:val="both"/>
      </w:pPr>
      <w:r>
        <w:rPr>
          <w:rFonts w:ascii="Times New Roman"/>
          <w:b w:val="false"/>
          <w:i w:val="false"/>
          <w:color w:val="000000"/>
          <w:sz w:val="28"/>
        </w:rPr>
        <w:t>
      2) description of approaches to statistical analysis of loan segmentation with homogeneous features (including analysis of homogeneity, sufficiency of statistics and other components), as well as in case of application of expert approach description and justification of segmentation on the basis of expert approach;</w:t>
      </w:r>
    </w:p>
    <w:p>
      <w:pPr>
        <w:spacing w:after="0"/>
        <w:ind w:left="0"/>
        <w:jc w:val="both"/>
      </w:pPr>
      <w:r>
        <w:rPr>
          <w:rFonts w:ascii="Times New Roman"/>
          <w:b w:val="false"/>
          <w:i w:val="false"/>
          <w:color w:val="000000"/>
          <w:sz w:val="28"/>
        </w:rPr>
        <w:t>
      3) criteria for selecting threshold values for each of the criteria;</w:t>
      </w:r>
    </w:p>
    <w:p>
      <w:pPr>
        <w:spacing w:after="0"/>
        <w:ind w:left="0"/>
        <w:jc w:val="both"/>
      </w:pPr>
      <w:r>
        <w:rPr>
          <w:rFonts w:ascii="Times New Roman"/>
          <w:b w:val="false"/>
          <w:i w:val="false"/>
          <w:color w:val="000000"/>
          <w:sz w:val="28"/>
        </w:rPr>
        <w:t xml:space="preserve">
      4) conditions under which there is no need for further portfolio segmentation (for cases where applicable).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Management Board of the Agency of the Republic of Kazakhstan for the Regulation and Development of the Financial Market dated 30.12.2021 No.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Depending on the change in credit risk and presence of impairment indicators on financial assets, provisions (reserves) are formed:</w:t>
      </w:r>
    </w:p>
    <w:p>
      <w:pPr>
        <w:spacing w:after="0"/>
        <w:ind w:left="0"/>
        <w:jc w:val="both"/>
      </w:pPr>
      <w:r>
        <w:rPr>
          <w:rFonts w:ascii="Times New Roman"/>
          <w:b w:val="false"/>
          <w:i w:val="false"/>
          <w:color w:val="000000"/>
          <w:sz w:val="28"/>
        </w:rPr>
        <w:t>
      1) in the amount equal to twelve-month expected credit losses in accordance with paragraph 8 of the Rules;</w:t>
      </w:r>
    </w:p>
    <w:p>
      <w:pPr>
        <w:spacing w:after="0"/>
        <w:ind w:left="0"/>
        <w:jc w:val="both"/>
      </w:pPr>
      <w:r>
        <w:rPr>
          <w:rFonts w:ascii="Times New Roman"/>
          <w:b w:val="false"/>
          <w:i w:val="false"/>
          <w:color w:val="000000"/>
          <w:sz w:val="28"/>
        </w:rPr>
        <w:t>
      2) in the amount equal to expected credit losses for the entire term of the financial asset in accordance with paragraph 9 of the Rules;</w:t>
      </w:r>
    </w:p>
    <w:p>
      <w:pPr>
        <w:spacing w:after="0"/>
        <w:ind w:left="0"/>
        <w:jc w:val="both"/>
      </w:pPr>
      <w:r>
        <w:rPr>
          <w:rFonts w:ascii="Times New Roman"/>
          <w:b w:val="false"/>
          <w:i w:val="false"/>
          <w:color w:val="000000"/>
          <w:sz w:val="28"/>
        </w:rPr>
        <w:t>
      3) in the amount equal to existing credit losses in accordance with paragraph 14 of the Rules.</w:t>
      </w:r>
    </w:p>
    <w:p>
      <w:pPr>
        <w:spacing w:after="0"/>
        <w:ind w:left="0"/>
        <w:jc w:val="both"/>
      </w:pPr>
      <w:r>
        <w:rPr>
          <w:rFonts w:ascii="Times New Roman"/>
          <w:b w:val="false"/>
          <w:i w:val="false"/>
          <w:color w:val="000000"/>
          <w:sz w:val="28"/>
        </w:rPr>
        <w:t>
      7. Upon initial recognition of a financial asset, a contingent liability and on valuation date (but not less than once a quarter), the risk of a default occurrence is determined over the expected life of the financial asset, the contingent liability on an individual basis for financial assets, contingent liabilities classified as individual financial assets, contingent liabilities, and on a group basis, for financial assets, contingent liabilities, classified as homogeneous financial assets, contingent liabilities.</w:t>
      </w:r>
    </w:p>
    <w:p>
      <w:pPr>
        <w:spacing w:after="0"/>
        <w:ind w:left="0"/>
        <w:jc w:val="both"/>
      </w:pPr>
      <w:r>
        <w:rPr>
          <w:rFonts w:ascii="Times New Roman"/>
          <w:b w:val="false"/>
          <w:i w:val="false"/>
          <w:color w:val="000000"/>
          <w:sz w:val="28"/>
        </w:rPr>
        <w:t>
      8. If as of the reporting date there is no significant increase in credit risk calculated taking into account paragraph 7 of the Rules for a financial asset, the contingent liability from the moment of initial recognition, financial organization shall estimate the amount of provisions (reserves) for this financial asset, the contingent liability in the amount equal to a twelve-month expected credit loss from the balance sheet date.</w:t>
      </w:r>
    </w:p>
    <w:p>
      <w:pPr>
        <w:spacing w:after="0"/>
        <w:ind w:left="0"/>
        <w:jc w:val="both"/>
      </w:pPr>
      <w:r>
        <w:rPr>
          <w:rFonts w:ascii="Times New Roman"/>
          <w:b w:val="false"/>
          <w:i w:val="false"/>
          <w:color w:val="000000"/>
          <w:sz w:val="28"/>
        </w:rPr>
        <w:t>
      9. As of the reporting date, the financial organization estimates the amount of provisions (reserves) for a financial asset, a contingent liability in the amount equal to the expected credit losses for the entire term, if the credit risk, including the risk of default, determined in accordance with paragraph 7 of the Rules, for this financial asset, contingent liability has significantly increased since the initial recognition.</w:t>
      </w:r>
    </w:p>
    <w:p>
      <w:pPr>
        <w:spacing w:after="0"/>
        <w:ind w:left="0"/>
        <w:jc w:val="both"/>
      </w:pPr>
      <w:r>
        <w:rPr>
          <w:rFonts w:ascii="Times New Roman"/>
          <w:b w:val="false"/>
          <w:i w:val="false"/>
          <w:color w:val="000000"/>
          <w:sz w:val="28"/>
        </w:rPr>
        <w:t>
      10. The increase in credit risk shall be determined as follows:</w:t>
      </w:r>
    </w:p>
    <w:p>
      <w:pPr>
        <w:spacing w:after="0"/>
        <w:ind w:left="0"/>
        <w:jc w:val="both"/>
      </w:pPr>
      <w:r>
        <w:rPr>
          <w:rFonts w:ascii="Times New Roman"/>
          <w:b w:val="false"/>
          <w:i w:val="false"/>
          <w:color w:val="000000"/>
          <w:sz w:val="28"/>
        </w:rPr>
        <w:t>
      1) the change in the risk of default over the expected validity period of the financial asset is assessed by comparing the risk of default on the financial asset determined in accordance with paragraph 7 of the Rules with the risk of default on the date of initial recognition;</w:t>
      </w:r>
    </w:p>
    <w:p>
      <w:pPr>
        <w:spacing w:after="0"/>
        <w:ind w:left="0"/>
        <w:jc w:val="both"/>
      </w:pPr>
      <w:r>
        <w:rPr>
          <w:rFonts w:ascii="Times New Roman"/>
          <w:b w:val="false"/>
          <w:i w:val="false"/>
          <w:color w:val="000000"/>
          <w:sz w:val="28"/>
        </w:rPr>
        <w:t>
      2) analysis of reasonable and corroborable information available without undue cost and effort that indicates a significant increase in credit risk since initial recognition.</w:t>
      </w:r>
    </w:p>
    <w:p>
      <w:pPr>
        <w:spacing w:after="0"/>
        <w:ind w:left="0"/>
        <w:jc w:val="both"/>
      </w:pPr>
      <w:r>
        <w:rPr>
          <w:rFonts w:ascii="Times New Roman"/>
          <w:b w:val="false"/>
          <w:i w:val="false"/>
          <w:color w:val="000000"/>
          <w:sz w:val="28"/>
        </w:rPr>
        <w:t>
      A significant increase in credit risk for an individual financial asset shall be the occurrence of one or more of the following cases:</w:t>
      </w:r>
    </w:p>
    <w:p>
      <w:pPr>
        <w:spacing w:after="0"/>
        <w:ind w:left="0"/>
        <w:jc w:val="both"/>
      </w:pPr>
      <w:r>
        <w:rPr>
          <w:rFonts w:ascii="Times New Roman"/>
          <w:b w:val="false"/>
          <w:i w:val="false"/>
          <w:color w:val="000000"/>
          <w:sz w:val="28"/>
        </w:rPr>
        <w:t>
      the borrower (co-borrower) shall have an internal rating (point) corresponding to an increase in credit risk in accordance with the internal methodology (internal models) of the bank;</w:t>
      </w:r>
    </w:p>
    <w:p>
      <w:pPr>
        <w:spacing w:after="0"/>
        <w:ind w:left="0"/>
        <w:jc w:val="both"/>
      </w:pPr>
      <w:r>
        <w:rPr>
          <w:rFonts w:ascii="Times New Roman"/>
          <w:b w:val="false"/>
          <w:i w:val="false"/>
          <w:color w:val="000000"/>
          <w:sz w:val="28"/>
        </w:rPr>
        <w:t>
      at the reporting date, the probability of default (PD) during the validity period of a financial asset exceeds its value at the initial recognition (but not earlier than the date of implementation of IFRS 9) in the amount determined by the financial institution based on confirmed statistics, and in the absence of statistics - by at least two hundred (200) percent. To assess a significant increase in credit risk, loans with a probability of default within 12 (twelve) months exceeding 5 (five) percent shall be taken into account, except for cases of a significant change in the Methodology for calculating provisions (reserves) or the internal rating model. In the event of a significant change in the Methodology for calculating provisions or an internal rating model for assessing a significant increase in credit risk, loans with a probability of default within 12 (twelve) months exceeding 10 (ten) percent shall be taken into account;</w:t>
      </w:r>
    </w:p>
    <w:p>
      <w:pPr>
        <w:spacing w:after="0"/>
        <w:ind w:left="0"/>
        <w:jc w:val="both"/>
      </w:pPr>
      <w:r>
        <w:rPr>
          <w:rFonts w:ascii="Times New Roman"/>
          <w:b w:val="false"/>
          <w:i w:val="false"/>
          <w:color w:val="000000"/>
          <w:sz w:val="28"/>
        </w:rPr>
        <w:t>
      the financial institution shall set an absolute probability of default threshold determined on the basis of the confirmed statistics of the financial institution, in the absence of statistics, if the absolute value of the twelve-month probability of default exceeds 20 (twenty) percent;</w:t>
      </w:r>
    </w:p>
    <w:p>
      <w:pPr>
        <w:spacing w:after="0"/>
        <w:ind w:left="0"/>
        <w:jc w:val="both"/>
      </w:pPr>
      <w:r>
        <w:rPr>
          <w:rFonts w:ascii="Times New Roman"/>
          <w:b w:val="false"/>
          <w:i w:val="false"/>
          <w:color w:val="000000"/>
          <w:sz w:val="28"/>
        </w:rPr>
        <w:t>
      presence of overdue debt on principal and/or remuneration for a period of more than 30 (thirty) calendar days;</w:t>
      </w:r>
    </w:p>
    <w:p>
      <w:pPr>
        <w:spacing w:after="0"/>
        <w:ind w:left="0"/>
        <w:jc w:val="both"/>
      </w:pPr>
      <w:r>
        <w:rPr>
          <w:rFonts w:ascii="Times New Roman"/>
          <w:b w:val="false"/>
          <w:i w:val="false"/>
          <w:color w:val="000000"/>
          <w:sz w:val="28"/>
        </w:rPr>
        <w:t>
      significant changes in external market indicators of credit risk for a certain financial asset or similar financial assets with the same expected validity period;</w:t>
      </w:r>
    </w:p>
    <w:p>
      <w:pPr>
        <w:spacing w:after="0"/>
        <w:ind w:left="0"/>
        <w:jc w:val="both"/>
      </w:pPr>
      <w:r>
        <w:rPr>
          <w:rFonts w:ascii="Times New Roman"/>
          <w:b w:val="false"/>
          <w:i w:val="false"/>
          <w:color w:val="000000"/>
          <w:sz w:val="28"/>
        </w:rPr>
        <w:t>
      significant changes in the cost of security under the obligation or the quality of guarantees or mechanisms providing an economic incentive for the counterparty to make planned payments provided for in the contract, which are expected to reduce the economic incentive for the counterparty to make planned payments provided for in the contract, or otherwise affect the likelihood of default;</w:t>
      </w:r>
    </w:p>
    <w:p>
      <w:pPr>
        <w:spacing w:after="0"/>
        <w:ind w:left="0"/>
        <w:jc w:val="both"/>
      </w:pPr>
      <w:r>
        <w:rPr>
          <w:rFonts w:ascii="Times New Roman"/>
          <w:b w:val="false"/>
          <w:i w:val="false"/>
          <w:color w:val="000000"/>
          <w:sz w:val="28"/>
        </w:rPr>
        <w:t>
      other signs of a significant increase in credit risk in accordance with IFRS 9 and provided for in the Methodology for calculating provisions (reserves).</w:t>
      </w:r>
    </w:p>
    <w:p>
      <w:pPr>
        <w:spacing w:after="0"/>
        <w:ind w:left="0"/>
        <w:jc w:val="both"/>
      </w:pPr>
      <w:r>
        <w:rPr>
          <w:rFonts w:ascii="Times New Roman"/>
          <w:b w:val="false"/>
          <w:i w:val="false"/>
          <w:color w:val="000000"/>
          <w:sz w:val="28"/>
        </w:rPr>
        <w:t>
      A significant increase in credit risk for homogeneous financial assets shall be the occurrence of one or more of the following cases:</w:t>
      </w:r>
    </w:p>
    <w:p>
      <w:pPr>
        <w:spacing w:after="0"/>
        <w:ind w:left="0"/>
        <w:jc w:val="both"/>
      </w:pPr>
      <w:r>
        <w:rPr>
          <w:rFonts w:ascii="Times New Roman"/>
          <w:b w:val="false"/>
          <w:i w:val="false"/>
          <w:color w:val="000000"/>
          <w:sz w:val="28"/>
        </w:rPr>
        <w:t>
      at the reporting date, the probability of default (PD) during the validity period of a financial asset exceeds its value at the initial recognition (but not earlier than the date of implementation of IFRS 9) in the amount determined by the financial institution based on confirmed statistics, in case of absence of statistics by at least two hundred (200) percent. To assess a significant increase in credit risk, loans with a probability of default within 12 (twelve) months exceeding 5 (five) percent shall be taken into account, except for cases of a significant change in the Methodology for calculating provisions (reserves). In the event of a significant change in the Methodology for calculating provisions or an internal rating model for assessing a significant increase in credit risk, loans with a probability of default within 12 (twelve) months exceeding 10 (ten) percent shall be taken into account;</w:t>
      </w:r>
    </w:p>
    <w:p>
      <w:pPr>
        <w:spacing w:after="0"/>
        <w:ind w:left="0"/>
        <w:jc w:val="both"/>
      </w:pPr>
      <w:r>
        <w:rPr>
          <w:rFonts w:ascii="Times New Roman"/>
          <w:b w:val="false"/>
          <w:i w:val="false"/>
          <w:color w:val="000000"/>
          <w:sz w:val="28"/>
        </w:rPr>
        <w:t>
      the financial institution shall set an absolute probability of default threshold determined on the basis of its own confirmed statistics, in the absence of statistics, the absolute value of the twelve-month probability of default exceeds 20 (twenty) percent;</w:t>
      </w:r>
    </w:p>
    <w:p>
      <w:pPr>
        <w:spacing w:after="0"/>
        <w:ind w:left="0"/>
        <w:jc w:val="both"/>
      </w:pPr>
      <w:r>
        <w:rPr>
          <w:rFonts w:ascii="Times New Roman"/>
          <w:b w:val="false"/>
          <w:i w:val="false"/>
          <w:color w:val="000000"/>
          <w:sz w:val="28"/>
        </w:rPr>
        <w:t>
      presence of overdue debt on principal and/or remuneration for a period of more than 30 (thirty) calendar days;</w:t>
      </w:r>
    </w:p>
    <w:p>
      <w:pPr>
        <w:spacing w:after="0"/>
        <w:ind w:left="0"/>
        <w:jc w:val="both"/>
      </w:pPr>
      <w:r>
        <w:rPr>
          <w:rFonts w:ascii="Times New Roman"/>
          <w:b w:val="false"/>
          <w:i w:val="false"/>
          <w:color w:val="000000"/>
          <w:sz w:val="28"/>
        </w:rPr>
        <w:t>
      other signs of a significant increase in credit risk in accordance with IFRS 9 and provided for in the Methodology for calculating provisions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Resolution of the Management Board of the Agency of the Republic of Kazakhstan for the Regulation and Development of the Financial Market dated 30.12.2021 No.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Expected credit losses on a financial asset (s) shall be weighted taking into account the probability of assessing credit losses, that shall be, they shall be the present value of all losses of money over the entire expected validity period of the financial asset (s).</w:t>
      </w:r>
    </w:p>
    <w:p>
      <w:pPr>
        <w:spacing w:after="0"/>
        <w:ind w:left="0"/>
        <w:jc w:val="both"/>
      </w:pPr>
      <w:r>
        <w:rPr>
          <w:rFonts w:ascii="Times New Roman"/>
          <w:b w:val="false"/>
          <w:i w:val="false"/>
          <w:color w:val="000000"/>
          <w:sz w:val="28"/>
        </w:rPr>
        <w:t>
      Expected credit losses for a financial asset (s) shall be calculated using the expected credit loss calculation formula in accordance with Annex 1 to the Rules and shall be assessed in a manner that reflects:</w:t>
      </w:r>
    </w:p>
    <w:p>
      <w:pPr>
        <w:spacing w:after="0"/>
        <w:ind w:left="0"/>
        <w:jc w:val="both"/>
      </w:pPr>
      <w:r>
        <w:rPr>
          <w:rFonts w:ascii="Times New Roman"/>
          <w:b w:val="false"/>
          <w:i w:val="false"/>
          <w:color w:val="000000"/>
          <w:sz w:val="28"/>
        </w:rPr>
        <w:t>
      1) an unbiased and probability-weighted amount determined by assessing the range of possible results;</w:t>
      </w:r>
    </w:p>
    <w:p>
      <w:pPr>
        <w:spacing w:after="0"/>
        <w:ind w:left="0"/>
        <w:jc w:val="both"/>
      </w:pPr>
      <w:r>
        <w:rPr>
          <w:rFonts w:ascii="Times New Roman"/>
          <w:b w:val="false"/>
          <w:i w:val="false"/>
          <w:color w:val="000000"/>
          <w:sz w:val="28"/>
        </w:rPr>
        <w:t>
      2) temporary value of money;</w:t>
      </w:r>
    </w:p>
    <w:p>
      <w:pPr>
        <w:spacing w:after="0"/>
        <w:ind w:left="0"/>
        <w:jc w:val="both"/>
      </w:pPr>
      <w:r>
        <w:rPr>
          <w:rFonts w:ascii="Times New Roman"/>
          <w:b w:val="false"/>
          <w:i w:val="false"/>
          <w:color w:val="000000"/>
          <w:sz w:val="28"/>
        </w:rPr>
        <w:t>
      3) reasonable and corroborable information on past events, current qualitative and quantitative indicators and forecasts of future economic qualitative and quantitative indicators, including forecast macroeconomic information available at the reporting date without excessive costs or efforts.</w:t>
      </w:r>
    </w:p>
    <w:p>
      <w:pPr>
        <w:spacing w:after="0"/>
        <w:ind w:left="0"/>
        <w:jc w:val="both"/>
      </w:pPr>
      <w:r>
        <w:rPr>
          <w:rFonts w:ascii="Times New Roman"/>
          <w:b w:val="false"/>
          <w:i w:val="false"/>
          <w:color w:val="000000"/>
          <w:sz w:val="28"/>
        </w:rPr>
        <w:t>
      It shall be allowed to amend and (or) add by the financial institution the formula for calculating expected credit losses in case of compliance of the indicators stipulated by the formula for calculating expected credit losses in accordance with Annex 1 to the Rules with the requirements of parts one and two of this paragraph in accordance with the Methodology for calculating provisions (reserves).</w:t>
      </w:r>
    </w:p>
    <w:p>
      <w:pPr>
        <w:spacing w:after="0"/>
        <w:ind w:left="0"/>
        <w:jc w:val="both"/>
      </w:pPr>
      <w:r>
        <w:rPr>
          <w:rFonts w:ascii="Times New Roman"/>
          <w:b w:val="false"/>
          <w:i w:val="false"/>
          <w:color w:val="000000"/>
          <w:sz w:val="28"/>
        </w:rPr>
        <w:t>
      Quantitative and qualitative factors affecting the probability of default (PD), including, but not limited to the fact of restructuring and forced restructuring of a loan, the number of days of loan delinquency, shall be determined in the Methodology for calculating provisions (reserves).</w:t>
      </w:r>
    </w:p>
    <w:p>
      <w:pPr>
        <w:spacing w:after="0"/>
        <w:ind w:left="0"/>
        <w:jc w:val="both"/>
      </w:pPr>
      <w:r>
        <w:rPr>
          <w:rFonts w:ascii="Times New Roman"/>
          <w:b w:val="false"/>
          <w:i w:val="false"/>
          <w:color w:val="000000"/>
          <w:sz w:val="28"/>
        </w:rPr>
        <w:t>
      In the event of a default in accordance with events that shall be objective evidence of impairment established by the Rules, the Methodology for calculating provisions (reserves) and IFRS 9, the probability of default (PD) shall be assumed to be 1.</w:t>
      </w:r>
    </w:p>
    <w:p>
      <w:pPr>
        <w:spacing w:after="0"/>
        <w:ind w:left="0"/>
        <w:jc w:val="both"/>
      </w:pPr>
      <w:r>
        <w:rPr>
          <w:rFonts w:ascii="Times New Roman"/>
          <w:b w:val="false"/>
          <w:i w:val="false"/>
          <w:color w:val="000000"/>
          <w:sz w:val="28"/>
        </w:rPr>
        <w:t>
      When assessing the level of losses in the event of default (LGD), refinancing a loan through the issuance of a new loan, as well as loans received as part of government programs, are not taken into account as a loan repayment.</w:t>
      </w:r>
    </w:p>
    <w:p>
      <w:pPr>
        <w:spacing w:after="0"/>
        <w:ind w:left="0"/>
        <w:jc w:val="both"/>
      </w:pPr>
      <w:r>
        <w:rPr>
          <w:rFonts w:ascii="Times New Roman"/>
          <w:b w:val="false"/>
          <w:i w:val="false"/>
          <w:color w:val="000000"/>
          <w:sz w:val="28"/>
        </w:rPr>
        <w:t xml:space="preserve">
      When evaluating the LGD, the financial institution takes into account: </w:t>
      </w:r>
    </w:p>
    <w:p>
      <w:pPr>
        <w:spacing w:after="0"/>
        <w:ind w:left="0"/>
        <w:jc w:val="both"/>
      </w:pPr>
      <w:r>
        <w:rPr>
          <w:rFonts w:ascii="Times New Roman"/>
          <w:b w:val="false"/>
          <w:i w:val="false"/>
          <w:color w:val="000000"/>
          <w:sz w:val="28"/>
        </w:rPr>
        <w:t>
      1) probability of impossibility to recover the collateral property due to limiting factors (transfer of ownership to third parties and other factors) and (or) probability of impossibility to sell the collateral property after foreclosure (unfavorable characteristics of the collateral property and other factors);</w:t>
      </w:r>
    </w:p>
    <w:p>
      <w:pPr>
        <w:spacing w:after="0"/>
        <w:ind w:left="0"/>
        <w:jc w:val="both"/>
      </w:pPr>
      <w:r>
        <w:rPr>
          <w:rFonts w:ascii="Times New Roman"/>
          <w:b w:val="false"/>
          <w:i w:val="false"/>
          <w:color w:val="000000"/>
          <w:sz w:val="28"/>
        </w:rPr>
        <w:t>
      2) liquidity ratios in accordance with paragraph 17 of the Rules or liquidity ratios estimated using statistical analysis based on historical data on actual and estimated sales values, timing and costs of implementation;</w:t>
      </w:r>
    </w:p>
    <w:p>
      <w:pPr>
        <w:spacing w:after="0"/>
        <w:ind w:left="0"/>
        <w:jc w:val="both"/>
      </w:pPr>
      <w:r>
        <w:rPr>
          <w:rFonts w:ascii="Times New Roman"/>
          <w:b w:val="false"/>
          <w:i w:val="false"/>
          <w:color w:val="000000"/>
          <w:sz w:val="28"/>
        </w:rPr>
        <w:t>
      3) other cases of application of additional discounts;</w:t>
      </w:r>
    </w:p>
    <w:p>
      <w:pPr>
        <w:spacing w:after="0"/>
        <w:ind w:left="0"/>
        <w:jc w:val="both"/>
      </w:pPr>
      <w:r>
        <w:rPr>
          <w:rFonts w:ascii="Times New Roman"/>
          <w:b w:val="false"/>
          <w:i w:val="false"/>
          <w:color w:val="000000"/>
          <w:sz w:val="28"/>
        </w:rPr>
        <w:t>
      4) calculation of discounted cash returns;</w:t>
      </w:r>
    </w:p>
    <w:p>
      <w:pPr>
        <w:spacing w:after="0"/>
        <w:ind w:left="0"/>
        <w:jc w:val="both"/>
      </w:pPr>
      <w:r>
        <w:rPr>
          <w:rFonts w:ascii="Times New Roman"/>
          <w:b w:val="false"/>
          <w:i w:val="false"/>
          <w:color w:val="000000"/>
          <w:sz w:val="28"/>
        </w:rPr>
        <w:t>
      5) the ratio of the value of the pledged property and the debt of the borrower, the recovery of which shall be provided by this property;</w:t>
      </w:r>
    </w:p>
    <w:p>
      <w:pPr>
        <w:spacing w:after="0"/>
        <w:ind w:left="0"/>
        <w:jc w:val="both"/>
      </w:pPr>
      <w:r>
        <w:rPr>
          <w:rFonts w:ascii="Times New Roman"/>
          <w:b w:val="false"/>
          <w:i w:val="false"/>
          <w:color w:val="000000"/>
          <w:sz w:val="28"/>
        </w:rPr>
        <w:t>
      6) the fact of complete cancellation of debt in the presence of collateral, which shall be a sign of the lack of the possibility of collection or sale of collateral;</w:t>
      </w:r>
    </w:p>
    <w:p>
      <w:pPr>
        <w:spacing w:after="0"/>
        <w:ind w:left="0"/>
        <w:jc w:val="both"/>
      </w:pPr>
      <w:r>
        <w:rPr>
          <w:rFonts w:ascii="Times New Roman"/>
          <w:b w:val="false"/>
          <w:i w:val="false"/>
          <w:color w:val="000000"/>
          <w:sz w:val="28"/>
        </w:rPr>
        <w:t>
      7) existence of a significant deviation of LTV on the loan to legal entities in comparison with LTV of the assessed segment;</w:t>
      </w:r>
    </w:p>
    <w:p>
      <w:pPr>
        <w:spacing w:after="0"/>
        <w:ind w:left="0"/>
        <w:jc w:val="both"/>
      </w:pPr>
      <w:r>
        <w:rPr>
          <w:rFonts w:ascii="Times New Roman"/>
          <w:b w:val="false"/>
          <w:i w:val="false"/>
          <w:color w:val="000000"/>
          <w:sz w:val="28"/>
        </w:rPr>
        <w:t>
      8) the fact of complete cancellation of debt in the presence of collateral shall be a sign of the lack of the possibility of collection or sale of collateral and the need to revaluate the LGD based on the level of returns;</w:t>
      </w:r>
    </w:p>
    <w:p>
      <w:pPr>
        <w:spacing w:after="0"/>
        <w:ind w:left="0"/>
        <w:jc w:val="both"/>
      </w:pPr>
      <w:r>
        <w:rPr>
          <w:rFonts w:ascii="Times New Roman"/>
          <w:b w:val="false"/>
          <w:i w:val="false"/>
          <w:color w:val="000000"/>
          <w:sz w:val="28"/>
        </w:rPr>
        <w:t>
      9) reasonable threshold values   for the level of debt cancellation in the presence of collateral, which shall be a sign of the lack of the possibility of collecting or selling collateral, which leads to the need to revaluate the LGD on an individual basis based on the level of returns.</w:t>
      </w:r>
    </w:p>
    <w:p>
      <w:pPr>
        <w:spacing w:after="0"/>
        <w:ind w:left="0"/>
        <w:jc w:val="both"/>
      </w:pPr>
      <w:r>
        <w:rPr>
          <w:rFonts w:ascii="Times New Roman"/>
          <w:b w:val="false"/>
          <w:i w:val="false"/>
          <w:color w:val="000000"/>
          <w:sz w:val="28"/>
        </w:rPr>
        <w:t>
      Claims at risk of default (EAD) shall take balance sheet liabilities into account accrued fees and off-balance sheet liabilities using the appropriate credit conversion ratio.</w:t>
      </w:r>
    </w:p>
    <w:p>
      <w:pPr>
        <w:spacing w:after="0"/>
        <w:ind w:left="0"/>
        <w:jc w:val="both"/>
      </w:pPr>
      <w:r>
        <w:rPr>
          <w:rFonts w:ascii="Times New Roman"/>
          <w:b w:val="false"/>
          <w:i w:val="false"/>
          <w:color w:val="000000"/>
          <w:sz w:val="28"/>
        </w:rPr>
        <w:t>
      The credit conversion rate for possible (contingent) obligations, for the placement of loans and deposits by the bank in the future for the purposes of calculating EAD shall be determined on the basis of historical data of the financial institution. In other cases, the credit conversion rate for credit lines shall be equal to 1. Under the unused part of the credit line with the right to revoke, under which the financial institution shall be provided with proper control, confirmed by statistics for a period of at least 3 (three) years, the credit conversion rate shall be equal to 0. On credit cards, if it is possible to automatically block the limit until the overdue debt is fully repaid (more than 15 (fifteen) calendar days), the credit conversion rate shall be equal to 0.</w:t>
      </w:r>
    </w:p>
    <w:p>
      <w:pPr>
        <w:spacing w:after="0"/>
        <w:ind w:left="0"/>
        <w:jc w:val="both"/>
      </w:pPr>
      <w:r>
        <w:rPr>
          <w:rFonts w:ascii="Times New Roman"/>
          <w:b w:val="false"/>
          <w:i w:val="false"/>
          <w:color w:val="000000"/>
          <w:sz w:val="28"/>
        </w:rPr>
        <w:t>
      The credit conversion rate for possible (conditional) obligations to place loans and deposits by the bank in the future shall be equal to 0, if, when making each individual tranche, the bank confirms the absence of signs of a significant increase in credit risk, credit impairment by checking internal and external sources of information, taking into account the availability of up-to-date monitoring of the borrower's financial condition.</w:t>
      </w:r>
    </w:p>
    <w:p>
      <w:pPr>
        <w:spacing w:after="0"/>
        <w:ind w:left="0"/>
        <w:jc w:val="both"/>
      </w:pPr>
      <w:r>
        <w:rPr>
          <w:rFonts w:ascii="Times New Roman"/>
          <w:b w:val="false"/>
          <w:i w:val="false"/>
          <w:color w:val="000000"/>
          <w:sz w:val="28"/>
        </w:rPr>
        <w:t>
      The financial institution shall determine reasonable scenarios for changes in macroeconomic factors, supported by analytical and statistical reports, and takes them into account when assessing expected credit losses.</w:t>
      </w:r>
    </w:p>
    <w:p>
      <w:pPr>
        <w:spacing w:after="0"/>
        <w:ind w:left="0"/>
        <w:jc w:val="both"/>
      </w:pPr>
      <w:r>
        <w:rPr>
          <w:rFonts w:ascii="Times New Roman"/>
          <w:b w:val="false"/>
          <w:i w:val="false"/>
          <w:color w:val="000000"/>
          <w:sz w:val="28"/>
        </w:rPr>
        <w:t>
      The methodology for calculating provisions (reserves) shall contain general approaches to calculating macroeconomic scenarios and indicators, as well as stages for developing and approving macroeconomic scenarios.</w:t>
      </w:r>
    </w:p>
    <w:p>
      <w:pPr>
        <w:spacing w:after="0"/>
        <w:ind w:left="0"/>
        <w:jc w:val="both"/>
      </w:pPr>
      <w:r>
        <w:rPr>
          <w:rFonts w:ascii="Times New Roman"/>
          <w:b w:val="false"/>
          <w:i w:val="false"/>
          <w:color w:val="000000"/>
          <w:sz w:val="28"/>
        </w:rPr>
        <w:t xml:space="preserve">
      A detailed description of the calculations of macroeconomic scenarios and indicators shall be contained in the bank's internal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resolution of the Management Board of the Agency for Regulation and Development of the Financial Market of the Republic of Kazakhstan dated 28.10.2022 No. 78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credit loss on a financial asset (financial assets) represent the present value of the difference between contractual cash flows that are due to a financial organization under the contract and the cash flows that a financial organization expects to receive.</w:t>
      </w:r>
    </w:p>
    <w:p>
      <w:pPr>
        <w:spacing w:after="0"/>
        <w:ind w:left="0"/>
        <w:jc w:val="both"/>
      </w:pPr>
      <w:r>
        <w:rPr>
          <w:rFonts w:ascii="Times New Roman"/>
          <w:b w:val="false"/>
          <w:i w:val="false"/>
          <w:color w:val="000000"/>
          <w:sz w:val="28"/>
        </w:rPr>
        <w:t>
      13. Twelve-month expected credit losses are calculated using the formula for calculating twelve-month expected credit losses in accordance with Appendix 2 to the Rules and are part of the expected credit losses over the entire term and represent the shortfall of money that will occur upon the occurrence of a default within twelve months after the reporting date (or for a shorter period, if the expected term of a financial asset is less than twelve months), weighted with the probability of occurrence of such a default.</w:t>
      </w:r>
    </w:p>
    <w:p>
      <w:pPr>
        <w:spacing w:after="0"/>
        <w:ind w:left="0"/>
        <w:jc w:val="both"/>
      </w:pPr>
      <w:r>
        <w:rPr>
          <w:rFonts w:ascii="Times New Roman"/>
          <w:b w:val="false"/>
          <w:i w:val="false"/>
          <w:color w:val="000000"/>
          <w:sz w:val="28"/>
        </w:rPr>
        <w:t>
      A financial organization may change and (or) supplement the formula for calculating twelve-month expected credit losses in case of compliance with the indicators provided by the formula for calculating twelve-month expected credit losses in accordance with Appendix 2 to the Rules, the requirements of the first part of this paragraph in accordance with the Methodology for calculating provisions (reserves).</w:t>
      </w:r>
    </w:p>
    <w:p>
      <w:pPr>
        <w:spacing w:after="0"/>
        <w:ind w:left="0"/>
        <w:jc w:val="both"/>
      </w:pPr>
      <w:r>
        <w:rPr>
          <w:rFonts w:ascii="Times New Roman"/>
          <w:b w:val="false"/>
          <w:i w:val="false"/>
          <w:color w:val="000000"/>
          <w:sz w:val="28"/>
        </w:rPr>
        <w:t>
      14. Available credit loss on an individual credit impaired financial asset as at the reporting date, which shall not be an acquired or created credit impaired financial asset, shall be measured as the difference between the gross carrying amount of the financial asset and the present value of future cash flows, discounted using the initial effective interest rate on the financial asset and taking into account the weighted average probability of the outcome using the going-concern method and the gone-concern method in the scenarios defined in the internal documents of the financial institution.</w:t>
      </w:r>
    </w:p>
    <w:p>
      <w:pPr>
        <w:spacing w:after="0"/>
        <w:ind w:left="0"/>
        <w:jc w:val="both"/>
      </w:pPr>
      <w:r>
        <w:rPr>
          <w:rFonts w:ascii="Times New Roman"/>
          <w:b w:val="false"/>
          <w:i w:val="false"/>
          <w:color w:val="000000"/>
          <w:sz w:val="28"/>
        </w:rPr>
        <w:t>
      Requirements for determination of scenarios and probability of outcome according to the "going-concern" method and the "gone-concern" method, calculation of the given flows according to scenarios and probabilities of outcomes according to the "going-concern" method and the "gone-concern" method shall be established in the Procedure for calculation of provisions (reserves).</w:t>
      </w:r>
    </w:p>
    <w:p>
      <w:pPr>
        <w:spacing w:after="0"/>
        <w:ind w:left="0"/>
        <w:jc w:val="both"/>
      </w:pPr>
      <w:r>
        <w:rPr>
          <w:rFonts w:ascii="Times New Roman"/>
          <w:b w:val="false"/>
          <w:i w:val="false"/>
          <w:color w:val="000000"/>
          <w:sz w:val="28"/>
        </w:rPr>
        <w:t xml:space="preserve">
      The present value of future cash flows shall be calculated using the formula of the present value of future cash flows in accordance with Annex 3 to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Resolution of the Management Board of the Agency of the Republic of Kazakhstan for the Regulation and Development of the Financial Market dated 30.12.2021 No.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 credit-impaired financial asset shall become a financial asset with signs of a significant increase in credit risk, provided that the counterparty repays the debt for the period of at least 12 (twelve) months, which leads to a decrease in the gross book value of the financial asset at the date of formation of provisions (reserves) up to the level of equal or lower than the amount of debt at the time of transition of the financial asset to the category of credit-impaired financial assets and in the absence of events at the date of assessment that shall be objective evidence of impairment based on the signs of impairment of the financial asset established by the Methodology for calculating provisions (reserves).</w:t>
      </w:r>
    </w:p>
    <w:p>
      <w:pPr>
        <w:spacing w:after="0"/>
        <w:ind w:left="0"/>
        <w:jc w:val="both"/>
      </w:pPr>
      <w:r>
        <w:rPr>
          <w:rFonts w:ascii="Times New Roman"/>
          <w:b w:val="false"/>
          <w:i w:val="false"/>
          <w:color w:val="000000"/>
          <w:sz w:val="28"/>
        </w:rPr>
        <w:t>
      A financial asset with signs of a significant increase in credit risk shall be transferred to the category of financial assets, provisions (provisions) for which are formed in the amount equal to twelve-month expected credit losses in accordance with paragraph 8 of the Rules, provided that the counterparty repays the debt, which leads to a decrease in the gross book value of the financial asset at the date of provision formation (reserves) up to the level equal to or lower than the amount of debt at the time of transition of the financial asset to the category of financial assets showing signs of significant increase in credit risk and absence of significant increase in credit risk at the date of provision (reserves) formation.</w:t>
      </w:r>
    </w:p>
    <w:p>
      <w:pPr>
        <w:spacing w:after="0"/>
        <w:ind w:left="0"/>
        <w:jc w:val="both"/>
      </w:pPr>
      <w:r>
        <w:rPr>
          <w:rFonts w:ascii="Times New Roman"/>
          <w:b w:val="false"/>
          <w:i w:val="false"/>
          <w:color w:val="000000"/>
          <w:sz w:val="28"/>
        </w:rPr>
        <w:t>
      The conditions for the transfer (reclassification) of a loan between impairment stages include, but shall not be limited to, one or more of the following conditions:</w:t>
      </w:r>
    </w:p>
    <w:p>
      <w:pPr>
        <w:spacing w:after="0"/>
        <w:ind w:left="0"/>
        <w:jc w:val="both"/>
      </w:pPr>
      <w:r>
        <w:rPr>
          <w:rFonts w:ascii="Times New Roman"/>
          <w:b w:val="false"/>
          <w:i w:val="false"/>
          <w:color w:val="000000"/>
          <w:sz w:val="28"/>
        </w:rPr>
        <w:t>
      1) the period from the date of the forced restructuring, during which there is no deterioration in the financial condition of the borrower, is determined in the internal document of the financial institution and shall be at least 12 (twelve) months. For loans issued to individuals assessed on a collective basis, it shall be allowed to use a period of at least 6 (six) months in the presence of historical statistics on the repayment of restructured loans issued to individuals, indicating the stabilization of the dynamics of overdue payments, starting from the seventh payment. For other events that shall be objective evidence of impairment as defined in Paragraph 16 of the Rules - from the moment of exclusion of this event, which resulted in deterioration of the credit impairment stage;</w:t>
      </w:r>
    </w:p>
    <w:p>
      <w:pPr>
        <w:spacing w:after="0"/>
        <w:ind w:left="0"/>
        <w:jc w:val="both"/>
      </w:pPr>
      <w:r>
        <w:rPr>
          <w:rFonts w:ascii="Times New Roman"/>
          <w:b w:val="false"/>
          <w:i w:val="false"/>
          <w:color w:val="000000"/>
          <w:sz w:val="28"/>
        </w:rPr>
        <w:t>
      2) conditions under which the stage of impairment shall not change (significant deferral of payments and other conditions);</w:t>
      </w:r>
    </w:p>
    <w:p>
      <w:pPr>
        <w:spacing w:after="0"/>
        <w:ind w:left="0"/>
        <w:jc w:val="both"/>
      </w:pPr>
      <w:r>
        <w:rPr>
          <w:rFonts w:ascii="Times New Roman"/>
          <w:b w:val="false"/>
          <w:i w:val="false"/>
          <w:color w:val="000000"/>
          <w:sz w:val="28"/>
        </w:rPr>
        <w:t>
      3) the total amount of payments made by the borrower after credit impairment shall be greater than or equal to the amount of previously overdue debt;</w:t>
      </w:r>
    </w:p>
    <w:p>
      <w:pPr>
        <w:spacing w:after="0"/>
        <w:ind w:left="0"/>
        <w:jc w:val="both"/>
      </w:pPr>
      <w:r>
        <w:rPr>
          <w:rFonts w:ascii="Times New Roman"/>
          <w:b w:val="false"/>
          <w:i w:val="false"/>
          <w:color w:val="000000"/>
          <w:sz w:val="28"/>
        </w:rPr>
        <w:t xml:space="preserve">
      4) other conditions required to improve the impairment stage.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Management Board of the Agency of the Republic of Kazakhstan for the Regulation and Development of the Financial Market dated 30.12.2021 No.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An individual financial asset shall be evaluated for the presence of one or more of the following events that provide objective evidence of impairment:</w:t>
      </w:r>
    </w:p>
    <w:p>
      <w:pPr>
        <w:spacing w:after="0"/>
        <w:ind w:left="0"/>
        <w:jc w:val="both"/>
      </w:pPr>
      <w:r>
        <w:rPr>
          <w:rFonts w:ascii="Times New Roman"/>
          <w:b w:val="false"/>
          <w:i w:val="false"/>
          <w:color w:val="000000"/>
          <w:sz w:val="28"/>
        </w:rPr>
        <w:t>
      1) significant financial difficulties of the borrower:</w:t>
      </w:r>
    </w:p>
    <w:p>
      <w:pPr>
        <w:spacing w:after="0"/>
        <w:ind w:left="0"/>
        <w:jc w:val="both"/>
      </w:pPr>
      <w:r>
        <w:rPr>
          <w:rFonts w:ascii="Times New Roman"/>
          <w:b w:val="false"/>
          <w:i w:val="false"/>
          <w:color w:val="000000"/>
          <w:sz w:val="28"/>
        </w:rPr>
        <w:t>
      For individuals:</w:t>
      </w:r>
    </w:p>
    <w:p>
      <w:pPr>
        <w:spacing w:after="0"/>
        <w:ind w:left="0"/>
        <w:jc w:val="both"/>
      </w:pPr>
      <w:r>
        <w:rPr>
          <w:rFonts w:ascii="Times New Roman"/>
          <w:b w:val="false"/>
          <w:i w:val="false"/>
          <w:color w:val="000000"/>
          <w:sz w:val="28"/>
        </w:rPr>
        <w:t>
      the borrower (co-borrower) shall have an internal rating (score) corresponding to the level of impairment according to the internal methodology (internal models) of the financial organization;</w:t>
      </w:r>
    </w:p>
    <w:p>
      <w:pPr>
        <w:spacing w:after="0"/>
        <w:ind w:left="0"/>
        <w:jc w:val="both"/>
      </w:pPr>
      <w:r>
        <w:rPr>
          <w:rFonts w:ascii="Times New Roman"/>
          <w:b w:val="false"/>
          <w:i w:val="false"/>
          <w:color w:val="000000"/>
          <w:sz w:val="28"/>
        </w:rPr>
        <w:t>
      significant deterioration in the level of income or solvency of the borrower (co-borrower) and (or) insufficient income to repay obligations;</w:t>
      </w:r>
    </w:p>
    <w:p>
      <w:pPr>
        <w:spacing w:after="0"/>
        <w:ind w:left="0"/>
        <w:jc w:val="both"/>
      </w:pPr>
      <w:r>
        <w:rPr>
          <w:rFonts w:ascii="Times New Roman"/>
          <w:b w:val="false"/>
          <w:i w:val="false"/>
          <w:color w:val="000000"/>
          <w:sz w:val="28"/>
        </w:rPr>
        <w:t>
      lack of employment or commercial activity;</w:t>
      </w:r>
    </w:p>
    <w:p>
      <w:pPr>
        <w:spacing w:after="0"/>
        <w:ind w:left="0"/>
        <w:jc w:val="both"/>
      </w:pPr>
      <w:r>
        <w:rPr>
          <w:rFonts w:ascii="Times New Roman"/>
          <w:b w:val="false"/>
          <w:i w:val="false"/>
          <w:color w:val="000000"/>
          <w:sz w:val="28"/>
        </w:rPr>
        <w:t>
      the presence of factors that caused material damage to the borrower (co-borrower) or did not allow him/her to continue other commercial activities;</w:t>
      </w:r>
    </w:p>
    <w:p>
      <w:pPr>
        <w:spacing w:after="0"/>
        <w:ind w:left="0"/>
        <w:jc w:val="both"/>
      </w:pPr>
      <w:r>
        <w:rPr>
          <w:rFonts w:ascii="Times New Roman"/>
          <w:b w:val="false"/>
          <w:i w:val="false"/>
          <w:color w:val="000000"/>
          <w:sz w:val="28"/>
        </w:rPr>
        <w:t>
      death of the borrower;</w:t>
      </w:r>
    </w:p>
    <w:p>
      <w:pPr>
        <w:spacing w:after="0"/>
        <w:ind w:left="0"/>
        <w:jc w:val="both"/>
      </w:pPr>
      <w:r>
        <w:rPr>
          <w:rFonts w:ascii="Times New Roman"/>
          <w:b w:val="false"/>
          <w:i w:val="false"/>
          <w:color w:val="000000"/>
          <w:sz w:val="28"/>
        </w:rPr>
        <w:t>
      lack of a credit file.</w:t>
      </w:r>
    </w:p>
    <w:p>
      <w:pPr>
        <w:spacing w:after="0"/>
        <w:ind w:left="0"/>
        <w:jc w:val="both"/>
      </w:pPr>
      <w:r>
        <w:rPr>
          <w:rFonts w:ascii="Times New Roman"/>
          <w:b w:val="false"/>
          <w:i w:val="false"/>
          <w:color w:val="000000"/>
          <w:sz w:val="28"/>
        </w:rPr>
        <w:t>
      For legal entities:</w:t>
      </w:r>
    </w:p>
    <w:p>
      <w:pPr>
        <w:spacing w:after="0"/>
        <w:ind w:left="0"/>
        <w:jc w:val="both"/>
      </w:pPr>
      <w:r>
        <w:rPr>
          <w:rFonts w:ascii="Times New Roman"/>
          <w:b w:val="false"/>
          <w:i w:val="false"/>
          <w:color w:val="000000"/>
          <w:sz w:val="28"/>
        </w:rPr>
        <w:t>
      the borrower (co-borrower) shall have an internal rating (score) corresponding to the level of impairment according to the bank’s internal methodology (internal models);</w:t>
      </w:r>
    </w:p>
    <w:p>
      <w:pPr>
        <w:spacing w:after="0"/>
        <w:ind w:left="0"/>
        <w:jc w:val="both"/>
      </w:pPr>
      <w:r>
        <w:rPr>
          <w:rFonts w:ascii="Times New Roman"/>
          <w:b w:val="false"/>
          <w:i w:val="false"/>
          <w:color w:val="000000"/>
          <w:sz w:val="28"/>
        </w:rPr>
        <w:t>
      availability of reasonable and verifiable information about significant financial difficulties of the borrower, identified during the analysis of financial statements, cash flow statements, monitoring reports and other information from publicly available sources, if two or more of the following cases occur:</w:t>
      </w:r>
    </w:p>
    <w:p>
      <w:pPr>
        <w:spacing w:after="0"/>
        <w:ind w:left="0"/>
        <w:jc w:val="both"/>
      </w:pPr>
      <w:r>
        <w:rPr>
          <w:rFonts w:ascii="Times New Roman"/>
          <w:b w:val="false"/>
          <w:i w:val="false"/>
          <w:color w:val="000000"/>
          <w:sz w:val="28"/>
        </w:rPr>
        <w:t>
      negative equity;</w:t>
      </w:r>
    </w:p>
    <w:p>
      <w:pPr>
        <w:spacing w:after="0"/>
        <w:ind w:left="0"/>
        <w:jc w:val="both"/>
      </w:pPr>
      <w:r>
        <w:rPr>
          <w:rFonts w:ascii="Times New Roman"/>
          <w:b w:val="false"/>
          <w:i w:val="false"/>
          <w:color w:val="000000"/>
          <w:sz w:val="28"/>
        </w:rPr>
        <w:t>
      decrease in equity capital by more than 50 (fifty) percent over the last 12 (twelve) months;</w:t>
      </w:r>
    </w:p>
    <w:p>
      <w:pPr>
        <w:spacing w:after="0"/>
        <w:ind w:left="0"/>
        <w:jc w:val="both"/>
      </w:pPr>
      <w:r>
        <w:rPr>
          <w:rFonts w:ascii="Times New Roman"/>
          <w:b w:val="false"/>
          <w:i w:val="false"/>
          <w:color w:val="000000"/>
          <w:sz w:val="28"/>
        </w:rPr>
        <w:t>
      decrease in revenue by more than 30 (thirty) percent over the last 12 (twelve) months.</w:t>
      </w:r>
    </w:p>
    <w:p>
      <w:pPr>
        <w:spacing w:after="0"/>
        <w:ind w:left="0"/>
        <w:jc w:val="both"/>
      </w:pPr>
      <w:r>
        <w:rPr>
          <w:rFonts w:ascii="Times New Roman"/>
          <w:b w:val="false"/>
          <w:i w:val="false"/>
          <w:color w:val="000000"/>
          <w:sz w:val="28"/>
        </w:rPr>
        <w:t>
      loss and failure to replace a major customer within the last twelve (12) months;</w:t>
      </w:r>
    </w:p>
    <w:p>
      <w:pPr>
        <w:spacing w:after="0"/>
        <w:ind w:left="0"/>
        <w:jc w:val="both"/>
      </w:pPr>
      <w:r>
        <w:rPr>
          <w:rFonts w:ascii="Times New Roman"/>
          <w:b w:val="false"/>
          <w:i w:val="false"/>
          <w:color w:val="000000"/>
          <w:sz w:val="28"/>
        </w:rPr>
        <w:t>
      the ratio of liabilities to assets is more than 0.8. This ratio shall not apply to borrowers who are microfinance organizations operating in accordance with subparagraph 3) of paragraph 1-1 of Article 3 of the Law of the Republic of Kazakhstan “On Microfinance Activities”;</w:t>
      </w:r>
    </w:p>
    <w:p>
      <w:pPr>
        <w:spacing w:after="0"/>
        <w:ind w:left="0"/>
        <w:jc w:val="both"/>
      </w:pPr>
      <w:r>
        <w:rPr>
          <w:rFonts w:ascii="Times New Roman"/>
          <w:b w:val="false"/>
          <w:i w:val="false"/>
          <w:color w:val="000000"/>
          <w:sz w:val="28"/>
        </w:rPr>
        <w:t>
      the interest coverage ratio, which is calculated as the ratio of EBIT (earnings before interest and taxes) to interest expense, is less than 1.5;</w:t>
      </w:r>
    </w:p>
    <w:p>
      <w:pPr>
        <w:spacing w:after="0"/>
        <w:ind w:left="0"/>
        <w:jc w:val="both"/>
      </w:pPr>
      <w:r>
        <w:rPr>
          <w:rFonts w:ascii="Times New Roman"/>
          <w:b w:val="false"/>
          <w:i w:val="false"/>
          <w:color w:val="000000"/>
          <w:sz w:val="28"/>
        </w:rPr>
        <w:t>
      the average annual current ratio, which is calculated as the ratio of current assets to current liabilities, is less than 1 for the last 12 (twelve) months.</w:t>
      </w:r>
    </w:p>
    <w:p>
      <w:pPr>
        <w:spacing w:after="0"/>
        <w:ind w:left="0"/>
        <w:jc w:val="both"/>
      </w:pPr>
      <w:r>
        <w:rPr>
          <w:rFonts w:ascii="Times New Roman"/>
          <w:b w:val="false"/>
          <w:i w:val="false"/>
          <w:color w:val="000000"/>
          <w:sz w:val="28"/>
        </w:rPr>
        <w:t>
      negative average annual operating cash flow according to the cash flow statement for the last 12 (twelve) months;</w:t>
      </w:r>
    </w:p>
    <w:p>
      <w:pPr>
        <w:spacing w:after="0"/>
        <w:ind w:left="0"/>
        <w:jc w:val="both"/>
      </w:pPr>
      <w:r>
        <w:rPr>
          <w:rFonts w:ascii="Times New Roman"/>
          <w:b w:val="false"/>
          <w:i w:val="false"/>
          <w:color w:val="000000"/>
          <w:sz w:val="28"/>
        </w:rPr>
        <w:t>
      the presence of force majeure, as well as other circumstances that caused material damage to the borrower (co-borrower), but did not lead to the termination of its activities;</w:t>
      </w:r>
    </w:p>
    <w:p>
      <w:pPr>
        <w:spacing w:after="0"/>
        <w:ind w:left="0"/>
        <w:jc w:val="both"/>
      </w:pPr>
      <w:r>
        <w:rPr>
          <w:rFonts w:ascii="Times New Roman"/>
          <w:b w:val="false"/>
          <w:i w:val="false"/>
          <w:color w:val="000000"/>
          <w:sz w:val="28"/>
        </w:rPr>
        <w:t>
      absence of current signed financial statements (as of a date no earlier than 6 (six) months before the calculation of provisions);</w:t>
      </w:r>
    </w:p>
    <w:p>
      <w:pPr>
        <w:spacing w:after="0"/>
        <w:ind w:left="0"/>
        <w:jc w:val="both"/>
      </w:pPr>
      <w:r>
        <w:rPr>
          <w:rFonts w:ascii="Times New Roman"/>
          <w:b w:val="false"/>
          <w:i w:val="false"/>
          <w:color w:val="000000"/>
          <w:sz w:val="28"/>
        </w:rPr>
        <w:t>
      lack of a credit file;</w:t>
      </w:r>
    </w:p>
    <w:p>
      <w:pPr>
        <w:spacing w:after="0"/>
        <w:ind w:left="0"/>
        <w:jc w:val="both"/>
      </w:pPr>
      <w:r>
        <w:rPr>
          <w:rFonts w:ascii="Times New Roman"/>
          <w:b w:val="false"/>
          <w:i w:val="false"/>
          <w:color w:val="000000"/>
          <w:sz w:val="28"/>
        </w:rPr>
        <w:t>
      2) violation of the terms of the contract, including:</w:t>
      </w:r>
    </w:p>
    <w:p>
      <w:pPr>
        <w:spacing w:after="0"/>
        <w:ind w:left="0"/>
        <w:jc w:val="both"/>
      </w:pPr>
      <w:r>
        <w:rPr>
          <w:rFonts w:ascii="Times New Roman"/>
          <w:b w:val="false"/>
          <w:i w:val="false"/>
          <w:color w:val="000000"/>
          <w:sz w:val="28"/>
        </w:rPr>
        <w:t>
      the presence of overdue debt on the principal debt and (or) remuneration for a period of more than 60 (sixty) calendar days;</w:t>
      </w:r>
    </w:p>
    <w:p>
      <w:pPr>
        <w:spacing w:after="0"/>
        <w:ind w:left="0"/>
        <w:jc w:val="both"/>
      </w:pPr>
      <w:r>
        <w:rPr>
          <w:rFonts w:ascii="Times New Roman"/>
          <w:b w:val="false"/>
          <w:i w:val="false"/>
          <w:color w:val="000000"/>
          <w:sz w:val="28"/>
        </w:rPr>
        <w:t>
      misuse of a loan, more than 25 (twenty-five) percent of the size of the credit line, except for cases of financing for replenishment of working capital;</w:t>
      </w:r>
    </w:p>
    <w:p>
      <w:pPr>
        <w:spacing w:after="0"/>
        <w:ind w:left="0"/>
        <w:jc w:val="both"/>
      </w:pPr>
      <w:r>
        <w:rPr>
          <w:rFonts w:ascii="Times New Roman"/>
          <w:b w:val="false"/>
          <w:i w:val="false"/>
          <w:color w:val="000000"/>
          <w:sz w:val="28"/>
        </w:rPr>
        <w:t>
      3) forced loan restructuring over the last 12 (twelve) months;</w:t>
      </w:r>
    </w:p>
    <w:p>
      <w:pPr>
        <w:spacing w:after="0"/>
        <w:ind w:left="0"/>
        <w:jc w:val="both"/>
      </w:pPr>
      <w:r>
        <w:rPr>
          <w:rFonts w:ascii="Times New Roman"/>
          <w:b w:val="false"/>
          <w:i w:val="false"/>
          <w:color w:val="000000"/>
          <w:sz w:val="28"/>
        </w:rPr>
        <w:t>
      4) the emergence of the likelihood of bankruptcy or other financial reorganization of the borrower:</w:t>
      </w:r>
    </w:p>
    <w:p>
      <w:pPr>
        <w:spacing w:after="0"/>
        <w:ind w:left="0"/>
        <w:jc w:val="both"/>
      </w:pPr>
      <w:r>
        <w:rPr>
          <w:rFonts w:ascii="Times New Roman"/>
          <w:b w:val="false"/>
          <w:i w:val="false"/>
          <w:color w:val="000000"/>
          <w:sz w:val="28"/>
        </w:rPr>
        <w:t>
      the borrower has filed for bankruptcy;</w:t>
      </w:r>
    </w:p>
    <w:p>
      <w:pPr>
        <w:spacing w:after="0"/>
        <w:ind w:left="0"/>
        <w:jc w:val="both"/>
      </w:pPr>
      <w:r>
        <w:rPr>
          <w:rFonts w:ascii="Times New Roman"/>
          <w:b w:val="false"/>
          <w:i w:val="false"/>
          <w:color w:val="000000"/>
          <w:sz w:val="28"/>
        </w:rPr>
        <w:t>
      a legal entity that has contractual obligations to repay the debt of the borrower in the event of its insolvency, with assets more than 10 (ten) percent of the assets of the consolidated financial statements of a group of entities that have contractual obligations with the borrower to repay its debt in the event of its insolvency, applied for bankruptcy;</w:t>
      </w:r>
    </w:p>
    <w:p>
      <w:pPr>
        <w:spacing w:after="0"/>
        <w:ind w:left="0"/>
        <w:jc w:val="both"/>
      </w:pPr>
      <w:r>
        <w:rPr>
          <w:rFonts w:ascii="Times New Roman"/>
          <w:b w:val="false"/>
          <w:i w:val="false"/>
          <w:color w:val="000000"/>
          <w:sz w:val="28"/>
        </w:rPr>
        <w:t>
      5) other events established by the Methodology for calculating provisions (reserves).</w:t>
      </w:r>
    </w:p>
    <w:p>
      <w:pPr>
        <w:spacing w:after="0"/>
        <w:ind w:left="0"/>
        <w:jc w:val="both"/>
      </w:pPr>
      <w:r>
        <w:rPr>
          <w:rFonts w:ascii="Times New Roman"/>
          <w:b w:val="false"/>
          <w:i w:val="false"/>
          <w:color w:val="000000"/>
          <w:sz w:val="28"/>
        </w:rPr>
        <w:t>
      A financial organization shall designate an individual financial asset with signs of impairment into another category of financial assets if the following conditions are simultaneously met:</w:t>
      </w:r>
    </w:p>
    <w:p>
      <w:pPr>
        <w:spacing w:after="0"/>
        <w:ind w:left="0"/>
        <w:jc w:val="both"/>
      </w:pPr>
      <w:r>
        <w:rPr>
          <w:rFonts w:ascii="Times New Roman"/>
          <w:b w:val="false"/>
          <w:i w:val="false"/>
          <w:color w:val="000000"/>
          <w:sz w:val="28"/>
        </w:rPr>
        <w:t>
      the presence of a conclusion from the risk management department of the financial organization regarding the non-classification of an individual financial asset into the category of credit-impaired financial assets, indicating reasonable arguments and corresponding calculations in accordance with the internal documents of the financial organization;</w:t>
      </w:r>
    </w:p>
    <w:p>
      <w:pPr>
        <w:spacing w:after="0"/>
        <w:ind w:left="0"/>
        <w:jc w:val="both"/>
      </w:pPr>
      <w:r>
        <w:rPr>
          <w:rFonts w:ascii="Times New Roman"/>
          <w:b w:val="false"/>
          <w:i w:val="false"/>
          <w:color w:val="000000"/>
          <w:sz w:val="28"/>
        </w:rPr>
        <w:t>
      existence of a decision of the authorized collegial body of the financial organization that decided on financing not to classify an individual financial asset as a credit-impaired financial asset;</w:t>
      </w:r>
    </w:p>
    <w:p>
      <w:pPr>
        <w:spacing w:after="0"/>
        <w:ind w:left="0"/>
        <w:jc w:val="both"/>
      </w:pPr>
      <w:r>
        <w:rPr>
          <w:rFonts w:ascii="Times New Roman"/>
          <w:b w:val="false"/>
          <w:i w:val="false"/>
          <w:color w:val="000000"/>
          <w:sz w:val="28"/>
        </w:rPr>
        <w:t>
      the aggregate gross book value of individual financial assets with signs of impairment that are subject to classification into another category of financial assets does not exceed 5 (five) percent of the equity capital of the financial organization.</w:t>
      </w:r>
    </w:p>
    <w:p>
      <w:pPr>
        <w:spacing w:after="0"/>
        <w:ind w:left="0"/>
        <w:jc w:val="both"/>
      </w:pPr>
      <w:r>
        <w:rPr>
          <w:rFonts w:ascii="Times New Roman"/>
          <w:b w:val="false"/>
          <w:i w:val="false"/>
          <w:color w:val="000000"/>
          <w:sz w:val="28"/>
        </w:rPr>
        <w:t>
      If there is an internal rating model developed and (or) tested with the participation of international organizations (experts) in the field of modelling rating assessments or their specialized divisions, or developed by a parent financial organization that has a rating of at least “A-” by the Standard &amp; Poor's rating agency or a rating of a similar level from one of the other rating agencies, a financial institution uses an internal rating to determine whether a borrower has significant financial difficulties.</w:t>
      </w:r>
    </w:p>
    <w:p>
      <w:pPr>
        <w:spacing w:after="0"/>
        <w:ind w:left="0"/>
        <w:jc w:val="both"/>
      </w:pPr>
      <w:r>
        <w:rPr>
          <w:rFonts w:ascii="Times New Roman"/>
          <w:b w:val="false"/>
          <w:i w:val="false"/>
          <w:color w:val="000000"/>
          <w:sz w:val="28"/>
        </w:rPr>
        <w:t>
      International organizations (experts) in the field of rating assessment modelling shall recognize:</w:t>
      </w:r>
    </w:p>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Oliver Wyman;</w:t>
      </w:r>
    </w:p>
    <w:p>
      <w:pPr>
        <w:spacing w:after="0"/>
        <w:ind w:left="0"/>
        <w:jc w:val="both"/>
      </w:pPr>
      <w:r>
        <w:rPr>
          <w:rFonts w:ascii="Times New Roman"/>
          <w:b w:val="false"/>
          <w:i w:val="false"/>
          <w:color w:val="000000"/>
          <w:sz w:val="28"/>
        </w:rPr>
        <w:t>
      Boston Consulting Group;</w:t>
      </w:r>
    </w:p>
    <w:p>
      <w:pPr>
        <w:spacing w:after="0"/>
        <w:ind w:left="0"/>
        <w:jc w:val="both"/>
      </w:pPr>
      <w:r>
        <w:rPr>
          <w:rFonts w:ascii="Times New Roman"/>
          <w:b w:val="false"/>
          <w:i w:val="false"/>
          <w:color w:val="000000"/>
          <w:sz w:val="28"/>
        </w:rPr>
        <w:t>
      McKinsey &amp; Company (McKinsey &amp; Company);</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p>
      <w:pPr>
        <w:spacing w:after="0"/>
        <w:ind w:left="0"/>
        <w:jc w:val="both"/>
      </w:pPr>
      <w:r>
        <w:rPr>
          <w:rFonts w:ascii="Times New Roman"/>
          <w:b w:val="false"/>
          <w:i w:val="false"/>
          <w:color w:val="000000"/>
          <w:sz w:val="28"/>
        </w:rPr>
        <w:t>
      To examine the discriminatory ability of rating models, one of the following statistical tools is used:</w:t>
      </w:r>
    </w:p>
    <w:p>
      <w:pPr>
        <w:spacing w:after="0"/>
        <w:ind w:left="0"/>
        <w:jc w:val="both"/>
      </w:pPr>
      <w:r>
        <w:rPr>
          <w:rFonts w:ascii="Times New Roman"/>
          <w:b w:val="false"/>
          <w:i w:val="false"/>
          <w:color w:val="000000"/>
          <w:sz w:val="28"/>
        </w:rPr>
        <w:t>
      GINI- index;</w:t>
      </w:r>
    </w:p>
    <w:p>
      <w:pPr>
        <w:spacing w:after="0"/>
        <w:ind w:left="0"/>
        <w:jc w:val="both"/>
      </w:pPr>
      <w:r>
        <w:rPr>
          <w:rFonts w:ascii="Times New Roman"/>
          <w:b w:val="false"/>
          <w:i w:val="false"/>
          <w:color w:val="000000"/>
          <w:sz w:val="28"/>
        </w:rPr>
        <w:t>
      AUC (“Area under the curve”);</w:t>
      </w:r>
    </w:p>
    <w:p>
      <w:pPr>
        <w:spacing w:after="0"/>
        <w:ind w:left="0"/>
        <w:jc w:val="both"/>
      </w:pPr>
      <w:r>
        <w:rPr>
          <w:rFonts w:ascii="Times New Roman"/>
          <w:b w:val="false"/>
          <w:i w:val="false"/>
          <w:color w:val="000000"/>
          <w:sz w:val="28"/>
        </w:rPr>
        <w:t>
      Kendall Tau's;</w:t>
      </w:r>
    </w:p>
    <w:p>
      <w:pPr>
        <w:spacing w:after="0"/>
        <w:ind w:left="0"/>
        <w:jc w:val="both"/>
      </w:pPr>
      <w:r>
        <w:rPr>
          <w:rFonts w:ascii="Times New Roman"/>
          <w:b w:val="false"/>
          <w:i w:val="false"/>
          <w:color w:val="000000"/>
          <w:sz w:val="28"/>
        </w:rPr>
        <w:t>
      other statistical methods.</w:t>
      </w:r>
    </w:p>
    <w:p>
      <w:pPr>
        <w:spacing w:after="0"/>
        <w:ind w:left="0"/>
        <w:jc w:val="both"/>
      </w:pPr>
      <w:r>
        <w:rPr>
          <w:rFonts w:ascii="Times New Roman"/>
          <w:b w:val="false"/>
          <w:i w:val="false"/>
          <w:color w:val="000000"/>
          <w:sz w:val="28"/>
        </w:rPr>
        <w:t>
      The rating model shall be valid and acceptable for use if the following criteria are met:</w:t>
      </w:r>
    </w:p>
    <w:p>
      <w:pPr>
        <w:spacing w:after="0"/>
        <w:ind w:left="0"/>
        <w:jc w:val="both"/>
      </w:pPr>
      <w:r>
        <w:rPr>
          <w:rFonts w:ascii="Times New Roman"/>
          <w:b w:val="false"/>
          <w:i w:val="false"/>
          <w:color w:val="000000"/>
          <w:sz w:val="28"/>
        </w:rPr>
        <w:t>
      availability of good discriminatory power when the statistical criteria take one of the following values: AUC curve &gt; 70 (seventy) percent, GINI- index &gt; 40 (forty) percent, Kendall Tau's &gt; 60 (sixty) percent;</w:t>
      </w:r>
    </w:p>
    <w:p>
      <w:pPr>
        <w:spacing w:after="0"/>
        <w:ind w:left="0"/>
        <w:jc w:val="both"/>
      </w:pPr>
      <w:r>
        <w:rPr>
          <w:rFonts w:ascii="Times New Roman"/>
          <w:b w:val="false"/>
          <w:i w:val="false"/>
          <w:color w:val="000000"/>
          <w:sz w:val="28"/>
        </w:rPr>
        <w:t>
      the depth of statistical data used to build the model is at least 3 (three) years;</w:t>
      </w:r>
    </w:p>
    <w:p>
      <w:pPr>
        <w:spacing w:after="0"/>
        <w:ind w:left="0"/>
        <w:jc w:val="both"/>
      </w:pPr>
      <w:r>
        <w:rPr>
          <w:rFonts w:ascii="Times New Roman"/>
          <w:b w:val="false"/>
          <w:i w:val="false"/>
          <w:color w:val="000000"/>
          <w:sz w:val="28"/>
        </w:rPr>
        <w:t>
      the weight of quantitative indicators is at least 40 (forty) percent.</w:t>
      </w:r>
    </w:p>
    <w:p>
      <w:pPr>
        <w:spacing w:after="0"/>
        <w:ind w:left="0"/>
        <w:jc w:val="both"/>
      </w:pPr>
      <w:r>
        <w:rPr>
          <w:rFonts w:ascii="Times New Roman"/>
          <w:b w:val="false"/>
          <w:i w:val="false"/>
          <w:color w:val="000000"/>
          <w:sz w:val="28"/>
        </w:rPr>
        <w:t>
      Validation shall be carried out at least 1 (one) time every 2 (two) years by an independent division of a financial organization or with the involvement of an independent third party.</w:t>
      </w:r>
    </w:p>
    <w:p>
      <w:pPr>
        <w:spacing w:after="0"/>
        <w:ind w:left="0"/>
        <w:jc w:val="both"/>
      </w:pPr>
      <w:r>
        <w:rPr>
          <w:rFonts w:ascii="Times New Roman"/>
          <w:b w:val="false"/>
          <w:i w:val="false"/>
          <w:color w:val="000000"/>
          <w:sz w:val="28"/>
        </w:rPr>
        <w:t>
      The independent unit responsible for validating the rating model shall meet the following requirements:</w:t>
      </w:r>
    </w:p>
    <w:p>
      <w:pPr>
        <w:spacing w:after="0"/>
        <w:ind w:left="0"/>
        <w:jc w:val="both"/>
      </w:pPr>
      <w:r>
        <w:rPr>
          <w:rFonts w:ascii="Times New Roman"/>
          <w:b w:val="false"/>
          <w:i w:val="false"/>
          <w:color w:val="000000"/>
          <w:sz w:val="28"/>
        </w:rPr>
        <w:t>
      division, independent of other functions, designed to develop and support model tools and to handle credit risk processes and procedures;</w:t>
      </w:r>
    </w:p>
    <w:p>
      <w:pPr>
        <w:spacing w:after="0"/>
        <w:ind w:left="0"/>
        <w:jc w:val="both"/>
      </w:pPr>
      <w:r>
        <w:rPr>
          <w:rFonts w:ascii="Times New Roman"/>
          <w:b w:val="false"/>
          <w:i w:val="false"/>
          <w:color w:val="000000"/>
          <w:sz w:val="28"/>
        </w:rPr>
        <w:t>
      division independent of the persons involved in assigning ratings and lending;</w:t>
      </w:r>
    </w:p>
    <w:p>
      <w:pPr>
        <w:spacing w:after="0"/>
        <w:ind w:left="0"/>
        <w:jc w:val="both"/>
      </w:pPr>
      <w:r>
        <w:rPr>
          <w:rFonts w:ascii="Times New Roman"/>
          <w:b w:val="false"/>
          <w:i w:val="false"/>
          <w:color w:val="000000"/>
          <w:sz w:val="28"/>
        </w:rPr>
        <w:t>
      the division is not accountable to those responsible for assigning ratings and lending;</w:t>
      </w:r>
    </w:p>
    <w:p>
      <w:pPr>
        <w:spacing w:after="0"/>
        <w:ind w:left="0"/>
        <w:jc w:val="both"/>
      </w:pPr>
      <w:r>
        <w:rPr>
          <w:rFonts w:ascii="Times New Roman"/>
          <w:b w:val="false"/>
          <w:i w:val="false"/>
          <w:color w:val="000000"/>
          <w:sz w:val="28"/>
        </w:rPr>
        <w:t>
      division independent of the internal audit service.</w:t>
      </w:r>
    </w:p>
    <w:p>
      <w:pPr>
        <w:spacing w:after="0"/>
        <w:ind w:left="0"/>
        <w:jc w:val="both"/>
      </w:pPr>
      <w:r>
        <w:rPr>
          <w:rFonts w:ascii="Times New Roman"/>
          <w:b w:val="false"/>
          <w:i w:val="false"/>
          <w:color w:val="000000"/>
          <w:sz w:val="28"/>
        </w:rPr>
        <w:t>
      Participants in the rating model validation shall meet the following requirements:</w:t>
      </w:r>
    </w:p>
    <w:p>
      <w:pPr>
        <w:spacing w:after="0"/>
        <w:ind w:left="0"/>
        <w:jc w:val="both"/>
      </w:pPr>
      <w:r>
        <w:rPr>
          <w:rFonts w:ascii="Times New Roman"/>
          <w:b w:val="false"/>
          <w:i w:val="false"/>
          <w:color w:val="000000"/>
          <w:sz w:val="28"/>
        </w:rPr>
        <w:t>
      Master's degree (or equivalent) in statistics, mathematics, data science or a related quantitative field;</w:t>
      </w:r>
    </w:p>
    <w:p>
      <w:pPr>
        <w:spacing w:after="0"/>
        <w:ind w:left="0"/>
        <w:jc w:val="both"/>
      </w:pPr>
      <w:r>
        <w:rPr>
          <w:rFonts w:ascii="Times New Roman"/>
          <w:b w:val="false"/>
          <w:i w:val="false"/>
          <w:color w:val="000000"/>
          <w:sz w:val="28"/>
        </w:rPr>
        <w:t>
      More than four (4) years of experience developing and validating models in financial services;</w:t>
      </w:r>
    </w:p>
    <w:p>
      <w:pPr>
        <w:spacing w:after="0"/>
        <w:ind w:left="0"/>
        <w:jc w:val="both"/>
      </w:pPr>
      <w:r>
        <w:rPr>
          <w:rFonts w:ascii="Times New Roman"/>
          <w:b w:val="false"/>
          <w:i w:val="false"/>
          <w:color w:val="000000"/>
          <w:sz w:val="28"/>
        </w:rPr>
        <w:t>
      More than four (4) years of hands-on experience with data science and statistical tools;</w:t>
      </w:r>
    </w:p>
    <w:p>
      <w:pPr>
        <w:spacing w:after="0"/>
        <w:ind w:left="0"/>
        <w:jc w:val="both"/>
      </w:pPr>
      <w:r>
        <w:rPr>
          <w:rFonts w:ascii="Times New Roman"/>
          <w:b w:val="false"/>
          <w:i w:val="false"/>
          <w:color w:val="000000"/>
          <w:sz w:val="28"/>
        </w:rPr>
        <w:t>
      More than four (4) years of experience in statistical analysis, large data processing and trend analysis.</w:t>
      </w:r>
    </w:p>
    <w:p>
      <w:pPr>
        <w:spacing w:after="0"/>
        <w:ind w:left="0"/>
        <w:jc w:val="both"/>
      </w:pPr>
      <w:r>
        <w:rPr>
          <w:rFonts w:ascii="Times New Roman"/>
          <w:b w:val="false"/>
          <w:i w:val="false"/>
          <w:color w:val="000000"/>
          <w:sz w:val="28"/>
        </w:rPr>
        <w:t>
      Validation results with detailed justification shall be provided to the management body of a financial organization or non-resident bank of the Republic of Kazakhstan (for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Board of the Agency of the Republic of Kazakhstan for Regulation and Development of the Financial Market dated October 28, 2022 No. 78 (for the order of enforcement, refer to Paragraph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When calculating expected credit losses, the financial institution shall take into account confirmed information on the sale of collateral for a period of at least two years. In the absence of confirmed information on the sale of collateral, to calculate expected credit losses, the financial institution shall apply liquidity ratios to the value of the collateral in the following order:</w:t>
      </w:r>
    </w:p>
    <w:p>
      <w:pPr>
        <w:spacing w:after="0"/>
        <w:ind w:left="0"/>
        <w:jc w:val="both"/>
      </w:pPr>
      <w:r>
        <w:rPr>
          <w:rFonts w:ascii="Times New Roman"/>
          <w:b w:val="false"/>
          <w:i w:val="false"/>
          <w:color w:val="000000"/>
          <w:sz w:val="28"/>
        </w:rPr>
        <w:t>
      1) security in the form of residential and (or) commercial real estate, including land plots – 0.7;</w:t>
      </w:r>
    </w:p>
    <w:p>
      <w:pPr>
        <w:spacing w:after="0"/>
        <w:ind w:left="0"/>
        <w:jc w:val="both"/>
      </w:pPr>
      <w:r>
        <w:rPr>
          <w:rFonts w:ascii="Times New Roman"/>
          <w:b w:val="false"/>
          <w:i w:val="false"/>
          <w:color w:val="000000"/>
          <w:sz w:val="28"/>
        </w:rPr>
        <w:t>
      2) provision in the form of cargo vehicles – 0.5;</w:t>
      </w:r>
    </w:p>
    <w:p>
      <w:pPr>
        <w:spacing w:after="0"/>
        <w:ind w:left="0"/>
        <w:jc w:val="both"/>
      </w:pPr>
      <w:r>
        <w:rPr>
          <w:rFonts w:ascii="Times New Roman"/>
          <w:b w:val="false"/>
          <w:i w:val="false"/>
          <w:color w:val="000000"/>
          <w:sz w:val="28"/>
        </w:rPr>
        <w:t>
      3) provision in the form of passenger vehicles – 0.6;</w:t>
      </w:r>
    </w:p>
    <w:p>
      <w:pPr>
        <w:spacing w:after="0"/>
        <w:ind w:left="0"/>
        <w:jc w:val="both"/>
      </w:pPr>
      <w:r>
        <w:rPr>
          <w:rFonts w:ascii="Times New Roman"/>
          <w:b w:val="false"/>
          <w:i w:val="false"/>
          <w:color w:val="000000"/>
          <w:sz w:val="28"/>
        </w:rPr>
        <w:t>
      4) provision in the form of equipment – 0.55;</w:t>
      </w:r>
    </w:p>
    <w:p>
      <w:pPr>
        <w:spacing w:after="0"/>
        <w:ind w:left="0"/>
        <w:jc w:val="both"/>
      </w:pPr>
      <w:r>
        <w:rPr>
          <w:rFonts w:ascii="Times New Roman"/>
          <w:b w:val="false"/>
          <w:i w:val="false"/>
          <w:color w:val="000000"/>
          <w:sz w:val="28"/>
        </w:rPr>
        <w:t>
      5) provision in the form of inventory, products ready for sale – 0.4;</w:t>
      </w:r>
    </w:p>
    <w:p>
      <w:pPr>
        <w:spacing w:after="0"/>
        <w:ind w:left="0"/>
        <w:jc w:val="both"/>
      </w:pPr>
      <w:r>
        <w:rPr>
          <w:rFonts w:ascii="Times New Roman"/>
          <w:b w:val="false"/>
          <w:i w:val="false"/>
          <w:color w:val="000000"/>
          <w:sz w:val="28"/>
        </w:rPr>
        <w:t>
      6) security in the form of guarantees of individuals and (or) legal entities, except for guarantees issued by a second-tier bank or a legal entity that has a rating not lower than the sovereign rating of the Republic of Kazakhstan by the Standard &amp; Poor's rating agency or a rating of a similar level of one of the other rating agencies, or a quasi-public sector entity – 0;</w:t>
      </w:r>
    </w:p>
    <w:p>
      <w:pPr>
        <w:spacing w:after="0"/>
        <w:ind w:left="0"/>
        <w:jc w:val="both"/>
      </w:pPr>
      <w:r>
        <w:rPr>
          <w:rFonts w:ascii="Times New Roman"/>
          <w:b w:val="false"/>
          <w:i w:val="false"/>
          <w:color w:val="000000"/>
          <w:sz w:val="28"/>
        </w:rPr>
        <w:t>
      7) security in the form of property, including in the form of money received in the future – 0;</w:t>
      </w:r>
    </w:p>
    <w:p>
      <w:pPr>
        <w:spacing w:after="0"/>
        <w:ind w:left="0"/>
        <w:jc w:val="both"/>
      </w:pPr>
      <w:r>
        <w:rPr>
          <w:rFonts w:ascii="Times New Roman"/>
          <w:b w:val="false"/>
          <w:i w:val="false"/>
          <w:color w:val="000000"/>
          <w:sz w:val="28"/>
        </w:rPr>
        <w:t>
      8) security in the form of money received in the future under an off-take contract, rights of claim to the state partner for cash receipts transferred to the account intended for crediting compensation for investment costs, under a public-private partnership agreement concluded in accordance with the legislation of the Republic of Kazakhstan, which is collateral under a bank loan agreement, the terms of which are provided for by Resolution of the Board of the National Bank of the Republic of Kazakhstan dated September 13, 2017 No. 170 “On establishing standard values and methods for calculating prudential standards and other mandatory norms and limits, the amount of bank capital and Calculation Rules and open currency position limits" (registered in the Register of State registration of Regulatory Legal Acts under No. 15886) (hereinafter referred to as Resolution No. 170) – 0.5;</w:t>
      </w:r>
    </w:p>
    <w:p>
      <w:pPr>
        <w:spacing w:after="0"/>
        <w:ind w:left="0"/>
        <w:jc w:val="both"/>
      </w:pPr>
      <w:r>
        <w:rPr>
          <w:rFonts w:ascii="Times New Roman"/>
          <w:b w:val="false"/>
          <w:i w:val="false"/>
          <w:color w:val="000000"/>
          <w:sz w:val="28"/>
        </w:rPr>
        <w:t>
      9) collateral in the form of highly liquid securities – 0.95;</w:t>
      </w:r>
    </w:p>
    <w:p>
      <w:pPr>
        <w:spacing w:after="0"/>
        <w:ind w:left="0"/>
        <w:jc w:val="both"/>
      </w:pPr>
      <w:r>
        <w:rPr>
          <w:rFonts w:ascii="Times New Roman"/>
          <w:b w:val="false"/>
          <w:i w:val="false"/>
          <w:color w:val="000000"/>
          <w:sz w:val="28"/>
        </w:rPr>
        <w:t>
      10) security in the form of guarantees issued by a second-tier bank, a legal entity with a rating not lower than the sovereign rating of the Republic of Kazakhstan by the Standard &amp; Poor's rating agency or a rating of a similar level by one of the other rating agencies; quasi-public sector entity – 1;</w:t>
      </w:r>
    </w:p>
    <w:p>
      <w:pPr>
        <w:spacing w:after="0"/>
        <w:ind w:left="0"/>
        <w:jc w:val="both"/>
      </w:pPr>
      <w:r>
        <w:rPr>
          <w:rFonts w:ascii="Times New Roman"/>
          <w:b w:val="false"/>
          <w:i w:val="false"/>
          <w:color w:val="000000"/>
          <w:sz w:val="28"/>
        </w:rPr>
        <w:t>
      11) security in the form of money – 1;</w:t>
      </w:r>
    </w:p>
    <w:p>
      <w:pPr>
        <w:spacing w:after="0"/>
        <w:ind w:left="0"/>
        <w:jc w:val="both"/>
      </w:pPr>
      <w:r>
        <w:rPr>
          <w:rFonts w:ascii="Times New Roman"/>
          <w:b w:val="false"/>
          <w:i w:val="false"/>
          <w:color w:val="000000"/>
          <w:sz w:val="28"/>
        </w:rPr>
        <w:t>
      12) security in the form of insurance contracts containing Paragraphs on the unconditional and irrevocable fulfilment of obligations for insurance payments, concluded with a national company that performs export support functions and has a state guarantee from the Government of the Republic of Kazakhstan - 1;</w:t>
      </w:r>
    </w:p>
    <w:p>
      <w:pPr>
        <w:spacing w:after="0"/>
        <w:ind w:left="0"/>
        <w:jc w:val="both"/>
      </w:pPr>
      <w:r>
        <w:rPr>
          <w:rFonts w:ascii="Times New Roman"/>
          <w:b w:val="false"/>
          <w:i w:val="false"/>
          <w:color w:val="000000"/>
          <w:sz w:val="28"/>
        </w:rPr>
        <w:t>
      13) security in the form of rights of claim on grain receipts, the conditions of which are provided for by Resolution No. 170 - 0.5.</w:t>
      </w:r>
    </w:p>
    <w:p>
      <w:pPr>
        <w:spacing w:after="0"/>
        <w:ind w:left="0"/>
        <w:jc w:val="both"/>
      </w:pPr>
      <w:r>
        <w:rPr>
          <w:rFonts w:ascii="Times New Roman"/>
          <w:b w:val="false"/>
          <w:i w:val="false"/>
          <w:color w:val="000000"/>
          <w:sz w:val="28"/>
        </w:rPr>
        <w:t>
      For other types of collateral not specified in part one of this paragraph, for which there is no confirmed information on the sale of collateral for a period of at least two years, a financial organization shall be allowed to use, when calculating expected credit losses, liquidity ratios to the value of the collateral provided for in the Methodology for calculating provisions (reserves), but not more than 0.5. For types of collateral not provided for in the Methodology for Calculating Provisions (Reserves), a liquidity ratio of zero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resolution of the Board of the Agency of the Republic of Kazakhstan for Regulation and Development of the Financial Market dated December 30, 2023 No. 100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Expected credit losses on contingent liabilities are expected payments that reimburse the holder of a financial instrument for the credit losses that it incurs, less the amounts that the financial organization expects to receive from the holder of the financial instrument, the debtor or any other party. This paragraph applies to contingent liabilities of counterparties whose financial assets are measured on an individual basis.</w:t>
      </w:r>
    </w:p>
    <w:p>
      <w:pPr>
        <w:spacing w:after="0"/>
        <w:ind w:left="0"/>
        <w:jc w:val="both"/>
      </w:pPr>
      <w:r>
        <w:rPr>
          <w:rFonts w:ascii="Times New Roman"/>
          <w:b w:val="false"/>
          <w:i w:val="false"/>
          <w:color w:val="000000"/>
          <w:sz w:val="28"/>
        </w:rPr>
        <w:t>
      19. For an acquired (acquired) or created (created) credit-impaired (credit-impaired) financial asset (financial assets) at the reporting date, the financial organization recognizes as an estimated provision for losses only the changes in expected credit losses accumulated since initial recognition for the entire period.</w:t>
      </w:r>
    </w:p>
    <w:p>
      <w:pPr>
        <w:spacing w:after="0"/>
        <w:ind w:left="0"/>
        <w:jc w:val="both"/>
      </w:pPr>
      <w:r>
        <w:rPr>
          <w:rFonts w:ascii="Times New Roman"/>
          <w:b w:val="false"/>
          <w:i w:val="false"/>
          <w:color w:val="000000"/>
          <w:sz w:val="28"/>
        </w:rPr>
        <w:t>
      Loans with a maturity of more than three years and for which repayment of more than 50 % (fifty percent) of the principal and more than 50 % (fifty percent) of the remuneration is made at the same time in the last year of the loan are classified as acquired or created credit-impaired financial assets. These loans for the purposes of the Rules are recognized as a financial asset provided for the benefit of related parties, or to the third parties for obligations of related parties.</w:t>
      </w:r>
    </w:p>
    <w:p>
      <w:pPr>
        <w:spacing w:after="0"/>
        <w:ind w:left="0"/>
        <w:jc w:val="both"/>
      </w:pPr>
      <w:r>
        <w:rPr>
          <w:rFonts w:ascii="Times New Roman"/>
          <w:b w:val="false"/>
          <w:i w:val="false"/>
          <w:color w:val="000000"/>
          <w:sz w:val="28"/>
        </w:rPr>
        <w:t>
      20. According to the results of determining the amount of provisions (reserves) on loans at least once a year at the end of the tax period for corporate income tax financial organization fills in the register on the amounts of provisions (reserves) in the form according to Appendix 4 to the Rules.</w:t>
      </w:r>
    </w:p>
    <w:p>
      <w:pPr>
        <w:spacing w:after="0"/>
        <w:ind w:left="0"/>
        <w:jc w:val="both"/>
      </w:pPr>
      <w:r>
        <w:rPr>
          <w:rFonts w:ascii="Times New Roman"/>
          <w:b w:val="false"/>
          <w:i w:val="false"/>
          <w:color w:val="000000"/>
          <w:sz w:val="28"/>
        </w:rPr>
        <w:t>
      During the tax period for corporate income tax, a financial organization fills and stores the register on the amounts of provisions (reserves) in the form according to Appendix 4 to the Rules in electronic form and at the request of state bodies presents on paper and electronic media.</w:t>
      </w:r>
    </w:p>
    <w:p>
      <w:pPr>
        <w:spacing w:after="0"/>
        <w:ind w:left="0"/>
        <w:jc w:val="both"/>
      </w:pPr>
      <w:r>
        <w:rPr>
          <w:rFonts w:ascii="Times New Roman"/>
          <w:b w:val="false"/>
          <w:i w:val="false"/>
          <w:color w:val="000000"/>
          <w:sz w:val="28"/>
        </w:rPr>
        <w:t>
      21. The financial organization at each reporting date estimates the amount of provisions (reserves) for a financial asset and contingent liability.</w:t>
      </w:r>
    </w:p>
    <w:p>
      <w:pPr>
        <w:spacing w:after="0"/>
        <w:ind w:left="0"/>
        <w:jc w:val="both"/>
      </w:pPr>
      <w:r>
        <w:rPr>
          <w:rFonts w:ascii="Times New Roman"/>
          <w:b w:val="false"/>
          <w:i w:val="false"/>
          <w:color w:val="000000"/>
          <w:sz w:val="28"/>
        </w:rPr>
        <w:t>
      22. The amount of provisions (reserves) created in accordance with the Rules calculated at the reporting date is reflected by the financial organization in accounting and financial reporting no later than the last working day of each month.</w:t>
      </w:r>
    </w:p>
    <w:p>
      <w:pPr>
        <w:spacing w:after="0"/>
        <w:ind w:left="0"/>
        <w:jc w:val="both"/>
      </w:pPr>
      <w:r>
        <w:rPr>
          <w:rFonts w:ascii="Times New Roman"/>
          <w:b w:val="false"/>
          <w:i w:val="false"/>
          <w:color w:val="000000"/>
          <w:sz w:val="28"/>
        </w:rPr>
        <w:t>
      23. The aggregate amount of provisions (reserves) created in accordance with the Rules for financial assets classified as credit impaired financial assets and financial assets with a significant increase in credit risk during the initial transition to IFRS 9 exceeds or equals the aggregate level of provisions (reserves) for the same financial assets in accordance with international standard of financial reporting 39 "Financial instruments: recognition and measurement".</w:t>
      </w:r>
    </w:p>
    <w:p>
      <w:pPr>
        <w:spacing w:after="0"/>
        <w:ind w:left="0"/>
        <w:jc w:val="left"/>
      </w:pPr>
      <w:r>
        <w:rPr>
          <w:rFonts w:ascii="Times New Roman"/>
          <w:b/>
          <w:i w:val="false"/>
          <w:color w:val="000000"/>
        </w:rPr>
        <w:t xml:space="preserve"> Chapter 3. The methodology for calculating provisions (reserves)</w:t>
      </w:r>
    </w:p>
    <w:p>
      <w:pPr>
        <w:spacing w:after="0"/>
        <w:ind w:left="0"/>
        <w:jc w:val="both"/>
      </w:pPr>
      <w:r>
        <w:rPr>
          <w:rFonts w:ascii="Times New Roman"/>
          <w:b w:val="false"/>
          <w:i w:val="false"/>
          <w:color w:val="000000"/>
          <w:sz w:val="28"/>
        </w:rPr>
        <w:t>
      24. A financial organization shall develop a Methodology for calculating provisions (reserves) in accordance with the Rules.</w:t>
      </w:r>
    </w:p>
    <w:p>
      <w:pPr>
        <w:spacing w:after="0"/>
        <w:ind w:left="0"/>
        <w:jc w:val="both"/>
      </w:pPr>
      <w:r>
        <w:rPr>
          <w:rFonts w:ascii="Times New Roman"/>
          <w:b w:val="false"/>
          <w:i w:val="false"/>
          <w:color w:val="000000"/>
          <w:sz w:val="28"/>
        </w:rPr>
        <w:t>
      The procedure for calculating provisions (reserves), as well as amendments and/or additions made to the Methodology for calculating provisions (reserves), shall be approved by the executive body of a financial organization or a non-resident bank of the Republic of Kazakhstan (for a branch of a non-resident bank of the Republic of Kazakhstan).</w:t>
      </w:r>
    </w:p>
    <w:p>
      <w:pPr>
        <w:spacing w:after="0"/>
        <w:ind w:left="0"/>
        <w:jc w:val="both"/>
      </w:pPr>
      <w:r>
        <w:rPr>
          <w:rFonts w:ascii="Times New Roman"/>
          <w:b w:val="false"/>
          <w:i w:val="false"/>
          <w:color w:val="000000"/>
          <w:sz w:val="28"/>
        </w:rPr>
        <w:t>
      Financial organizations that received a license to conduct banking and other operations after the day the Rules enter into force shall develop and approve the Methodology for calculating provisions (reserves) within one month from the date of obtaining a license to conduct banking and other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resolution of the Management Board of the RK dated 11.02.2021 № 20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methodology for calculating provisions (reserves) shall contain:</w:t>
      </w:r>
    </w:p>
    <w:p>
      <w:pPr>
        <w:spacing w:after="0"/>
        <w:ind w:left="0"/>
        <w:jc w:val="both"/>
      </w:pPr>
      <w:r>
        <w:rPr>
          <w:rFonts w:ascii="Times New Roman"/>
          <w:b w:val="false"/>
          <w:i w:val="false"/>
          <w:color w:val="000000"/>
          <w:sz w:val="28"/>
        </w:rPr>
        <w:t>
      1) a list of structural units of a financial organization participating in the process of determining the amonut of provisions (reserves) with description of their functional responsibilities, as well as business processes of interaction between structural units of a financial organization;</w:t>
      </w:r>
    </w:p>
    <w:p>
      <w:pPr>
        <w:spacing w:after="0"/>
        <w:ind w:left="0"/>
        <w:jc w:val="both"/>
      </w:pPr>
      <w:r>
        <w:rPr>
          <w:rFonts w:ascii="Times New Roman"/>
          <w:b w:val="false"/>
          <w:i w:val="false"/>
          <w:color w:val="000000"/>
          <w:sz w:val="28"/>
        </w:rPr>
        <w:t>
      2) a specific list of signs of impairment of a financial asset, including determining the materiality of the material damage caused to the counterparty due to force majeure and (or) other circumstances;</w:t>
      </w:r>
    </w:p>
    <w:p>
      <w:pPr>
        <w:spacing w:after="0"/>
        <w:ind w:left="0"/>
        <w:jc w:val="both"/>
      </w:pPr>
      <w:r>
        <w:rPr>
          <w:rFonts w:ascii="Times New Roman"/>
          <w:b w:val="false"/>
          <w:i w:val="false"/>
          <w:color w:val="000000"/>
          <w:sz w:val="28"/>
        </w:rPr>
        <w:t>
      3) the criteria for assigning financial assets, contingent liabilities to individual financial assets, contingent liabilities and a detailed description of the procedure for their determination and calculation determination, established by a financial organization;</w:t>
      </w:r>
    </w:p>
    <w:p>
      <w:pPr>
        <w:spacing w:after="0"/>
        <w:ind w:left="0"/>
        <w:jc w:val="both"/>
      </w:pPr>
      <w:r>
        <w:rPr>
          <w:rFonts w:ascii="Times New Roman"/>
          <w:b w:val="false"/>
          <w:i w:val="false"/>
          <w:color w:val="000000"/>
          <w:sz w:val="28"/>
        </w:rPr>
        <w:t>
      4) criteria for grouping financial assets, contingent liabilities by general characteristics of credit risk;</w:t>
      </w:r>
    </w:p>
    <w:p>
      <w:pPr>
        <w:spacing w:after="0"/>
        <w:ind w:left="0"/>
        <w:jc w:val="both"/>
      </w:pPr>
      <w:r>
        <w:rPr>
          <w:rFonts w:ascii="Times New Roman"/>
          <w:b w:val="false"/>
          <w:i w:val="false"/>
          <w:color w:val="000000"/>
          <w:sz w:val="28"/>
        </w:rPr>
        <w:t>
      5) a detailed procedure for determining the amount of provisions (reserves) for homogeneous and individual financial assets, contingent liabilities, both with and without collateral, disclosing, including a detailed procedure for calculating the probability of default, which defines the significance of the discount when selling loans, the level losses in case of default, claims at risk of default, discounting factor, the present value of future cash flows, the forecast of future cash flows, liquidity ratios to the cost of security and other constituent formulas involved in calculation of expected and (or) existing credit losses;</w:t>
      </w:r>
    </w:p>
    <w:p>
      <w:pPr>
        <w:spacing w:after="0"/>
        <w:ind w:left="0"/>
        <w:jc w:val="both"/>
      </w:pPr>
      <w:r>
        <w:rPr>
          <w:rFonts w:ascii="Times New Roman"/>
          <w:b w:val="false"/>
          <w:i w:val="false"/>
          <w:color w:val="000000"/>
          <w:sz w:val="28"/>
        </w:rPr>
        <w:t>
      6) the frequency of calculating the amount of provisions (reserves);</w:t>
      </w:r>
    </w:p>
    <w:p>
      <w:pPr>
        <w:spacing w:after="0"/>
        <w:ind w:left="0"/>
        <w:jc w:val="both"/>
      </w:pPr>
      <w:r>
        <w:rPr>
          <w:rFonts w:ascii="Times New Roman"/>
          <w:b w:val="false"/>
          <w:i w:val="false"/>
          <w:color w:val="000000"/>
          <w:sz w:val="28"/>
        </w:rPr>
        <w:t>
      7) criteria for determining a significant increase in credit risk when it increases and (or) decreases and assesses the probability of bankruptcy and reorganization of the counterparty;</w:t>
      </w:r>
    </w:p>
    <w:p>
      <w:pPr>
        <w:spacing w:after="0"/>
        <w:ind w:left="0"/>
        <w:jc w:val="both"/>
      </w:pPr>
      <w:r>
        <w:rPr>
          <w:rFonts w:ascii="Times New Roman"/>
          <w:b w:val="false"/>
          <w:i w:val="false"/>
          <w:color w:val="000000"/>
          <w:sz w:val="28"/>
        </w:rPr>
        <w:t>
      8) determination of default and the procedure for determining (calculating) the risk of a default occurring;</w:t>
      </w:r>
    </w:p>
    <w:p>
      <w:pPr>
        <w:spacing w:after="0"/>
        <w:ind w:left="0"/>
        <w:jc w:val="both"/>
      </w:pPr>
      <w:r>
        <w:rPr>
          <w:rFonts w:ascii="Times New Roman"/>
          <w:b w:val="false"/>
          <w:i w:val="false"/>
          <w:color w:val="000000"/>
          <w:sz w:val="28"/>
        </w:rPr>
        <w:t>
      9) the procedure for analyzing the range of possible scenarios of expected credit losses;</w:t>
      </w:r>
    </w:p>
    <w:p>
      <w:pPr>
        <w:spacing w:after="0"/>
        <w:ind w:left="0"/>
        <w:jc w:val="both"/>
      </w:pPr>
      <w:r>
        <w:rPr>
          <w:rFonts w:ascii="Times New Roman"/>
          <w:b w:val="false"/>
          <w:i w:val="false"/>
          <w:color w:val="000000"/>
          <w:sz w:val="28"/>
        </w:rPr>
        <w:t>
      10) the procedure for determining the period during which the expected credit losses are estimated;</w:t>
      </w:r>
    </w:p>
    <w:p>
      <w:pPr>
        <w:spacing w:after="0"/>
        <w:ind w:left="0"/>
        <w:jc w:val="both"/>
      </w:pPr>
      <w:r>
        <w:rPr>
          <w:rFonts w:ascii="Times New Roman"/>
          <w:b w:val="false"/>
          <w:i w:val="false"/>
          <w:color w:val="000000"/>
          <w:sz w:val="28"/>
        </w:rPr>
        <w:t>
      11) the specific definition of significant financial difficulties of the counterparty and the procedure for their establishment (calculation);</w:t>
      </w:r>
    </w:p>
    <w:p>
      <w:pPr>
        <w:spacing w:after="0"/>
        <w:ind w:left="0"/>
        <w:jc w:val="both"/>
      </w:pPr>
      <w:r>
        <w:rPr>
          <w:rFonts w:ascii="Times New Roman"/>
          <w:b w:val="false"/>
          <w:i w:val="false"/>
          <w:color w:val="000000"/>
          <w:sz w:val="28"/>
        </w:rPr>
        <w:t>
      12) sources of statistical and macroeconomic information used in estimating credit losses;</w:t>
      </w:r>
    </w:p>
    <w:p>
      <w:pPr>
        <w:spacing w:after="0"/>
        <w:ind w:left="0"/>
        <w:jc w:val="both"/>
      </w:pPr>
      <w:r>
        <w:rPr>
          <w:rFonts w:ascii="Times New Roman"/>
          <w:b w:val="false"/>
          <w:i w:val="false"/>
          <w:color w:val="000000"/>
          <w:sz w:val="28"/>
        </w:rPr>
        <w:t>
      13) the procedure for collecting statistical information used in calculation of provisions (reserves).</w:t>
      </w:r>
    </w:p>
    <w:p>
      <w:pPr>
        <w:spacing w:after="0"/>
        <w:ind w:left="0"/>
        <w:jc w:val="both"/>
      </w:pPr>
      <w:r>
        <w:rPr>
          <w:rFonts w:ascii="Times New Roman"/>
          <w:b w:val="false"/>
          <w:i w:val="false"/>
          <w:color w:val="000000"/>
          <w:sz w:val="28"/>
        </w:rPr>
        <w:t>
      It is not allowed to determine in the Methodology for calculating provisions (reserves) of incomplete lists and (or) information provided for in part one of this paragraph.</w:t>
      </w:r>
    </w:p>
    <w:p>
      <w:pPr>
        <w:spacing w:after="0"/>
        <w:ind w:left="0"/>
        <w:jc w:val="both"/>
      </w:pPr>
      <w:r>
        <w:rPr>
          <w:rFonts w:ascii="Times New Roman"/>
          <w:b w:val="false"/>
          <w:i w:val="false"/>
          <w:color w:val="000000"/>
          <w:sz w:val="28"/>
        </w:rPr>
        <w:t>
      It is not allowed to use in the Methodology for calculating provisions (reserves) of references to other sources, documents, information and (or) grounds that are not specified in the Methodology for calculating provisions (reserves).</w:t>
      </w:r>
    </w:p>
    <w:p>
      <w:pPr>
        <w:spacing w:after="0"/>
        <w:ind w:left="0"/>
        <w:jc w:val="both"/>
      </w:pPr>
      <w:r>
        <w:rPr>
          <w:rFonts w:ascii="Times New Roman"/>
          <w:b w:val="false"/>
          <w:i w:val="false"/>
          <w:color w:val="000000"/>
          <w:sz w:val="28"/>
        </w:rPr>
        <w:t>
      26. Changes and (or) additions to the Methodology for calculating provisions (reserves) are carried out on one or several of the following reasons:</w:t>
      </w:r>
    </w:p>
    <w:p>
      <w:pPr>
        <w:spacing w:after="0"/>
        <w:ind w:left="0"/>
        <w:jc w:val="both"/>
      </w:pPr>
      <w:r>
        <w:rPr>
          <w:rFonts w:ascii="Times New Roman"/>
          <w:b w:val="false"/>
          <w:i w:val="false"/>
          <w:color w:val="000000"/>
          <w:sz w:val="28"/>
        </w:rPr>
        <w:t>
      1) changing the list of structural units of a financial organization participating in the process of determining the amount of provisions (reserves) and their functional responsibilities specified in the Methodology for calculating provisions (reserves);</w:t>
      </w:r>
    </w:p>
    <w:p>
      <w:pPr>
        <w:spacing w:after="0"/>
        <w:ind w:left="0"/>
        <w:jc w:val="both"/>
      </w:pPr>
      <w:r>
        <w:rPr>
          <w:rFonts w:ascii="Times New Roman"/>
          <w:b w:val="false"/>
          <w:i w:val="false"/>
          <w:color w:val="000000"/>
          <w:sz w:val="28"/>
        </w:rPr>
        <w:t>
      2) inconsistency of the approved Methodology for calculating provisions (reserves) with international standards of financial reporting and the requirements of the legislation of the Republic of Kazakhstan on accounting and financial reporting;</w:t>
      </w:r>
    </w:p>
    <w:p>
      <w:pPr>
        <w:spacing w:after="0"/>
        <w:ind w:left="0"/>
        <w:jc w:val="both"/>
      </w:pPr>
      <w:r>
        <w:rPr>
          <w:rFonts w:ascii="Times New Roman"/>
          <w:b w:val="false"/>
          <w:i w:val="false"/>
          <w:color w:val="000000"/>
          <w:sz w:val="28"/>
        </w:rPr>
        <w:t>
      3) test results for compliance of provisions (reserves), calculated according to the requirements of the Methodology for calculating provisions (reserves), actual amounts of losses;</w:t>
      </w:r>
    </w:p>
    <w:p>
      <w:pPr>
        <w:spacing w:after="0"/>
        <w:ind w:left="0"/>
        <w:jc w:val="both"/>
      </w:pPr>
      <w:r>
        <w:rPr>
          <w:rFonts w:ascii="Times New Roman"/>
          <w:b w:val="false"/>
          <w:i w:val="false"/>
          <w:color w:val="000000"/>
          <w:sz w:val="28"/>
        </w:rPr>
        <w:t>
      4) change of the source (inability to obtain in the future) statistical and macroeconomic data, making it impossible to use them in the future;</w:t>
      </w:r>
    </w:p>
    <w:p>
      <w:pPr>
        <w:spacing w:after="0"/>
        <w:ind w:left="0"/>
        <w:jc w:val="both"/>
      </w:pPr>
      <w:r>
        <w:rPr>
          <w:rFonts w:ascii="Times New Roman"/>
          <w:b w:val="false"/>
          <w:i w:val="false"/>
          <w:color w:val="000000"/>
          <w:sz w:val="28"/>
        </w:rPr>
        <w:t>
      5) change in the grouping of financial assets and contingent liabilities for similar credit risk characteristics due to the change in the strategy of a financial organization;</w:t>
      </w:r>
    </w:p>
    <w:p>
      <w:pPr>
        <w:spacing w:after="0"/>
        <w:ind w:left="0"/>
        <w:jc w:val="both"/>
      </w:pPr>
      <w:r>
        <w:rPr>
          <w:rFonts w:ascii="Times New Roman"/>
          <w:b w:val="false"/>
          <w:i w:val="false"/>
          <w:color w:val="000000"/>
          <w:sz w:val="28"/>
        </w:rPr>
        <w:t>
      6) improving the accuracy of calculations of provisions (reserves) and improving the procedure for determining their amount, including their automation.</w:t>
      </w:r>
    </w:p>
    <w:p>
      <w:pPr>
        <w:spacing w:after="0"/>
        <w:ind w:left="0"/>
        <w:jc w:val="both"/>
      </w:pPr>
      <w:r>
        <w:rPr>
          <w:rFonts w:ascii="Times New Roman"/>
          <w:b w:val="false"/>
          <w:i w:val="false"/>
          <w:color w:val="000000"/>
          <w:sz w:val="28"/>
        </w:rPr>
        <w:t>
      27. Copies approved by the executive body of a financial institution or a non-resident bank of the Republic of Kazakhstan (for a branch of a non-resident bank of the Republic of Kazakhstan) Methods for calculating provisions (reserves) and (or) amendments and/or additions to the Provision Calculation Methodology (reserves) and information on amendments and (or) additions introduced to the Provision Calculation Methodology (reserves) in the form according to Annex 5 to the Rules shall be submitted by the financial institution to the authorized body no later than five working days from the date of approval by the executive body of the financial institution or non-resident bank of the Republic of Kazakhstan (for a branch of a non-resident bank of the Republic of Kazakhstan) Provision Calculation Methodology (reserves) and (or) amendments and (or) additions to the Provision Calculation Methodology (reserves).</w:t>
      </w:r>
    </w:p>
    <w:p>
      <w:pPr>
        <w:spacing w:after="0"/>
        <w:ind w:left="0"/>
        <w:jc w:val="both"/>
      </w:pPr>
      <w:r>
        <w:rPr>
          <w:rFonts w:ascii="Times New Roman"/>
          <w:b w:val="false"/>
          <w:i w:val="false"/>
          <w:color w:val="000000"/>
          <w:sz w:val="28"/>
        </w:rPr>
        <w:t>
      Based on the results of consideration of copies approved by the executive body of a financial institution or a non-resident bank of the Republic of Kazakhstan (for a branch of a non-resident bank of the Republic of Kazakhstan) Provision Calculation Methodology (reserves) and (or) amendments and (or) additions to the Provision Calculation Methodology (reserves) authorized body not later than sixty calendar days from the date of receipt of documents specified in Part 1 of this paragraph, shall send notification to the financial institution about absence or presence of comments to the Provision Calculation Methodology (reserves) and (or) amendments and/or additions to the Provision Calculation Methodology (reserves) in the form according to Annex 6 to the Rules.</w:t>
      </w:r>
    </w:p>
    <w:p>
      <w:pPr>
        <w:spacing w:after="0"/>
        <w:ind w:left="0"/>
        <w:jc w:val="both"/>
      </w:pPr>
      <w:r>
        <w:rPr>
          <w:rFonts w:ascii="Times New Roman"/>
          <w:b w:val="false"/>
          <w:i w:val="false"/>
          <w:color w:val="000000"/>
          <w:sz w:val="28"/>
        </w:rPr>
        <w:t>
      In the course of monitoring and supervision of banking activities, the authorized body shall notify the financial institution of the absence or presence of comments on the Provision Calculation Methodology (reserves) and (or) amendments and (or) additions to the Provision Calculation Methodology (reserves) in the form according to Annex 6 to the Rules.</w:t>
      </w:r>
    </w:p>
    <w:p>
      <w:pPr>
        <w:spacing w:after="0"/>
        <w:ind w:left="0"/>
        <w:jc w:val="both"/>
      </w:pPr>
      <w:r>
        <w:rPr>
          <w:rFonts w:ascii="Times New Roman"/>
          <w:b w:val="false"/>
          <w:i w:val="false"/>
          <w:color w:val="000000"/>
          <w:sz w:val="28"/>
        </w:rPr>
        <w:t>
      The comments of the authorized body shall be eliminated by the financial institution not later than 30 (thirty) working days from the date of receipt of the notifications provided for in the second and third parts of this paragraph.</w:t>
      </w:r>
    </w:p>
    <w:p>
      <w:pPr>
        <w:spacing w:after="0"/>
        <w:ind w:left="0"/>
        <w:jc w:val="both"/>
      </w:pPr>
      <w:r>
        <w:rPr>
          <w:rFonts w:ascii="Times New Roman"/>
          <w:b w:val="false"/>
          <w:i w:val="false"/>
          <w:color w:val="000000"/>
          <w:sz w:val="28"/>
        </w:rPr>
        <w:t>
      The provisions of the Provision Calculation Methodology (reserves) to be amended and/or added on one or more grounds stipulated by paragraph 26 of the Rules shall not apply until the financial institution has eliminated the comments of the authorized body, as well as brought it into compliance with international standards of financial reporting and the requirements of the legislation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resolution of the Management Board of the RK dated 11.02.2021 № 20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At the request of the tax authorities, the authorized body shall, within ten calendar days from the date of receipt of the request, provide copies of the agreed Methodology for calculating provisions (reserves), changes and / or additions to it, as well as information about the comments of the authorized body.</w:t>
      </w:r>
    </w:p>
    <w:p>
      <w:pPr>
        <w:spacing w:after="0"/>
        <w:ind w:left="0"/>
        <w:jc w:val="both"/>
      </w:pPr>
      <w:r>
        <w:rPr>
          <w:rFonts w:ascii="Times New Roman"/>
          <w:b w:val="false"/>
          <w:i w:val="false"/>
          <w:color w:val="000000"/>
          <w:sz w:val="28"/>
        </w:rPr>
        <w:t>
      29. When conducting a tax audit, the authorized body, at the request of the tax authority, shall submit within ten calendar days from the date of receipt of the request a notice on absence or presence of comments to the Methodology for calculating provisions (reserves) and (or) changes and (or) additions to the Methodology for calculating provisions ( reserves) in the form according to Appendix 6 to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creating provisions</w:t>
            </w:r>
            <w:r>
              <w:br/>
            </w:r>
            <w:r>
              <w:rPr>
                <w:rFonts w:ascii="Times New Roman"/>
                <w:b w:val="false"/>
                <w:i w:val="false"/>
                <w:color w:val="000000"/>
                <w:sz w:val="20"/>
              </w:rPr>
              <w:t>(reserves) in accordance with international standards of</w:t>
            </w:r>
            <w:r>
              <w:br/>
            </w:r>
            <w:r>
              <w:rPr>
                <w:rFonts w:ascii="Times New Roman"/>
                <w:b w:val="false"/>
                <w:i w:val="false"/>
                <w:color w:val="000000"/>
                <w:sz w:val="20"/>
              </w:rPr>
              <w:t>financial reporting and requirements of the legislation of</w:t>
            </w:r>
            <w:r>
              <w:br/>
            </w:r>
            <w:r>
              <w:rPr>
                <w:rFonts w:ascii="Times New Roman"/>
                <w:b w:val="false"/>
                <w:i w:val="false"/>
                <w:color w:val="000000"/>
                <w:sz w:val="20"/>
              </w:rPr>
              <w:t>the Republic of Kazakhstan on accounting and</w:t>
            </w:r>
            <w:r>
              <w:br/>
            </w:r>
            <w:r>
              <w:rPr>
                <w:rFonts w:ascii="Times New Roman"/>
                <w:b w:val="false"/>
                <w:i w:val="false"/>
                <w:color w:val="000000"/>
                <w:sz w:val="20"/>
              </w:rPr>
              <w:t>financial reporting</w:t>
            </w:r>
          </w:p>
        </w:tc>
      </w:tr>
    </w:tbl>
    <w:p>
      <w:pPr>
        <w:spacing w:after="0"/>
        <w:ind w:left="0"/>
        <w:jc w:val="left"/>
      </w:pPr>
      <w:r>
        <w:rPr>
          <w:rFonts w:ascii="Times New Roman"/>
          <w:b/>
          <w:i w:val="false"/>
          <w:color w:val="000000"/>
        </w:rPr>
        <w:t xml:space="preserve"> The formula for calculating expected credit losses</w:t>
      </w:r>
    </w:p>
    <w:p>
      <w:pPr>
        <w:spacing w:after="0"/>
        <w:ind w:left="0"/>
        <w:jc w:val="left"/>
      </w:pPr>
      <w:r>
        <w:br/>
      </w:r>
    </w:p>
    <w:p>
      <w:pPr>
        <w:spacing w:after="0"/>
        <w:ind w:left="0"/>
        <w:jc w:val="both"/>
      </w:pPr>
      <w:r>
        <w:drawing>
          <wp:inline distT="0" distB="0" distL="0" distR="0">
            <wp:extent cx="3619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 - probability of default (%);</w:t>
      </w:r>
    </w:p>
    <w:p>
      <w:pPr>
        <w:spacing w:after="0"/>
        <w:ind w:left="0"/>
        <w:jc w:val="both"/>
      </w:pPr>
      <w:r>
        <w:rPr>
          <w:rFonts w:ascii="Times New Roman"/>
          <w:b w:val="false"/>
          <w:i w:val="false"/>
          <w:color w:val="000000"/>
          <w:sz w:val="28"/>
        </w:rPr>
        <w:t>
       LGDt - loss rate in case of default (%);</w:t>
      </w:r>
    </w:p>
    <w:p>
      <w:pPr>
        <w:spacing w:after="0"/>
        <w:ind w:left="0"/>
        <w:jc w:val="both"/>
      </w:pPr>
      <w:r>
        <w:rPr>
          <w:rFonts w:ascii="Times New Roman"/>
          <w:b w:val="false"/>
          <w:i w:val="false"/>
          <w:color w:val="000000"/>
          <w:sz w:val="28"/>
        </w:rPr>
        <w:t>
       EADt - claims at risk of default;</w:t>
      </w:r>
    </w:p>
    <w:p>
      <w:pPr>
        <w:spacing w:after="0"/>
        <w:ind w:left="0"/>
        <w:jc w:val="both"/>
      </w:pPr>
      <w:r>
        <w:rPr>
          <w:rFonts w:ascii="Times New Roman"/>
          <w:b w:val="false"/>
          <w:i w:val="false"/>
          <w:color w:val="000000"/>
          <w:sz w:val="28"/>
        </w:rPr>
        <w:t>
       Dt - discounting factor;</w:t>
      </w:r>
    </w:p>
    <w:p>
      <w:pPr>
        <w:spacing w:after="0"/>
        <w:ind w:left="0"/>
        <w:jc w:val="both"/>
      </w:pPr>
      <w:r>
        <w:rPr>
          <w:rFonts w:ascii="Times New Roman"/>
          <w:b w:val="false"/>
          <w:i w:val="false"/>
          <w:color w:val="000000"/>
          <w:sz w:val="28"/>
        </w:rPr>
        <w:t>
       t - period during which the cash flow of the financial asset is assumed.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creating provisions</w:t>
            </w:r>
            <w:r>
              <w:br/>
            </w:r>
            <w:r>
              <w:rPr>
                <w:rFonts w:ascii="Times New Roman"/>
                <w:b w:val="false"/>
                <w:i w:val="false"/>
                <w:color w:val="000000"/>
                <w:sz w:val="20"/>
              </w:rPr>
              <w:t>(reserves) in accordance with international standards of</w:t>
            </w:r>
            <w:r>
              <w:br/>
            </w:r>
            <w:r>
              <w:rPr>
                <w:rFonts w:ascii="Times New Roman"/>
                <w:b w:val="false"/>
                <w:i w:val="false"/>
                <w:color w:val="000000"/>
                <w:sz w:val="20"/>
              </w:rPr>
              <w:t>financial reporting and requirements of the legislation</w:t>
            </w:r>
            <w:r>
              <w:br/>
            </w:r>
            <w:r>
              <w:rPr>
                <w:rFonts w:ascii="Times New Roman"/>
                <w:b w:val="false"/>
                <w:i w:val="false"/>
                <w:color w:val="000000"/>
                <w:sz w:val="20"/>
              </w:rPr>
              <w:t>of the Republic of Kazakhstan on accounting</w:t>
            </w:r>
            <w:r>
              <w:br/>
            </w:r>
            <w:r>
              <w:rPr>
                <w:rFonts w:ascii="Times New Roman"/>
                <w:b w:val="false"/>
                <w:i w:val="false"/>
                <w:color w:val="000000"/>
                <w:sz w:val="20"/>
              </w:rPr>
              <w:t>and financial reporting</w:t>
            </w:r>
          </w:p>
        </w:tc>
      </w:tr>
    </w:tbl>
    <w:p>
      <w:pPr>
        <w:spacing w:after="0"/>
        <w:ind w:left="0"/>
        <w:jc w:val="left"/>
      </w:pPr>
      <w:r>
        <w:rPr>
          <w:rFonts w:ascii="Times New Roman"/>
          <w:b/>
          <w:i w:val="false"/>
          <w:color w:val="000000"/>
        </w:rPr>
        <w:t xml:space="preserve"> The formula for calculating the twelve-month expected credit losses</w:t>
      </w:r>
    </w:p>
    <w:p>
      <w:pPr>
        <w:spacing w:after="0"/>
        <w:ind w:left="0"/>
        <w:jc w:val="left"/>
      </w:pPr>
      <w:r>
        <w:br/>
      </w:r>
    </w:p>
    <w:p>
      <w:pPr>
        <w:spacing w:after="0"/>
        <w:ind w:left="0"/>
        <w:jc w:val="both"/>
      </w:pPr>
      <w:r>
        <w:drawing>
          <wp:inline distT="0" distB="0" distL="0" distR="0">
            <wp:extent cx="3784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84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PD12 - probability of default (%);</w:t>
      </w:r>
    </w:p>
    <w:p>
      <w:pPr>
        <w:spacing w:after="0"/>
        <w:ind w:left="0"/>
        <w:jc w:val="both"/>
      </w:pPr>
      <w:r>
        <w:rPr>
          <w:rFonts w:ascii="Times New Roman"/>
          <w:b w:val="false"/>
          <w:i w:val="false"/>
          <w:color w:val="000000"/>
          <w:sz w:val="28"/>
        </w:rPr>
        <w:t>
       LGDt - loss rate in case of default (%);</w:t>
      </w:r>
    </w:p>
    <w:p>
      <w:pPr>
        <w:spacing w:after="0"/>
        <w:ind w:left="0"/>
        <w:jc w:val="both"/>
      </w:pPr>
      <w:r>
        <w:rPr>
          <w:rFonts w:ascii="Times New Roman"/>
          <w:b w:val="false"/>
          <w:i w:val="false"/>
          <w:color w:val="000000"/>
          <w:sz w:val="28"/>
        </w:rPr>
        <w:t>
       EADt - claims at risk of default;</w:t>
      </w:r>
    </w:p>
    <w:p>
      <w:pPr>
        <w:spacing w:after="0"/>
        <w:ind w:left="0"/>
        <w:jc w:val="both"/>
      </w:pPr>
      <w:r>
        <w:rPr>
          <w:rFonts w:ascii="Times New Roman"/>
          <w:b w:val="false"/>
          <w:i w:val="false"/>
          <w:color w:val="000000"/>
          <w:sz w:val="28"/>
        </w:rPr>
        <w:t>
       Dt - discounting factor;</w:t>
      </w:r>
    </w:p>
    <w:p>
      <w:pPr>
        <w:spacing w:after="0"/>
        <w:ind w:left="0"/>
        <w:jc w:val="both"/>
      </w:pPr>
      <w:r>
        <w:rPr>
          <w:rFonts w:ascii="Times New Roman"/>
          <w:b w:val="false"/>
          <w:i w:val="false"/>
          <w:color w:val="000000"/>
          <w:sz w:val="28"/>
        </w:rPr>
        <w:t>
       t - period during which the cash flow of the financial asset is assumed.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creating provisions</w:t>
            </w:r>
            <w:r>
              <w:br/>
            </w:r>
            <w:r>
              <w:rPr>
                <w:rFonts w:ascii="Times New Roman"/>
                <w:b w:val="false"/>
                <w:i w:val="false"/>
                <w:color w:val="000000"/>
                <w:sz w:val="20"/>
              </w:rPr>
              <w:t xml:space="preserve">(reserves) in accordance with international standards of </w:t>
            </w:r>
            <w:r>
              <w:br/>
            </w:r>
            <w:r>
              <w:rPr>
                <w:rFonts w:ascii="Times New Roman"/>
                <w:b w:val="false"/>
                <w:i w:val="false"/>
                <w:color w:val="000000"/>
                <w:sz w:val="20"/>
              </w:rPr>
              <w:t>financial reporting and requirements of the legislation of the</w:t>
            </w:r>
            <w:r>
              <w:br/>
            </w:r>
            <w:r>
              <w:rPr>
                <w:rFonts w:ascii="Times New Roman"/>
                <w:b w:val="false"/>
                <w:i w:val="false"/>
                <w:color w:val="000000"/>
                <w:sz w:val="20"/>
              </w:rPr>
              <w:t>Republic of Kazakhstan on accounting</w:t>
            </w:r>
            <w:r>
              <w:br/>
            </w:r>
            <w:r>
              <w:rPr>
                <w:rFonts w:ascii="Times New Roman"/>
                <w:b w:val="false"/>
                <w:i w:val="false"/>
                <w:color w:val="000000"/>
                <w:sz w:val="20"/>
              </w:rPr>
              <w:t>and financial reporting</w:t>
            </w:r>
          </w:p>
        </w:tc>
      </w:tr>
    </w:tbl>
    <w:p>
      <w:pPr>
        <w:spacing w:after="0"/>
        <w:ind w:left="0"/>
        <w:jc w:val="left"/>
      </w:pPr>
      <w:r>
        <w:rPr>
          <w:rFonts w:ascii="Times New Roman"/>
          <w:b/>
          <w:i w:val="false"/>
          <w:color w:val="000000"/>
        </w:rPr>
        <w:t xml:space="preserve"> The formula for the present value of future cash flows</w:t>
      </w:r>
    </w:p>
    <w:p>
      <w:pPr>
        <w:spacing w:after="0"/>
        <w:ind w:left="0"/>
        <w:jc w:val="left"/>
      </w:pPr>
      <w:r>
        <w:br/>
      </w:r>
    </w:p>
    <w:p>
      <w:pPr>
        <w:spacing w:after="0"/>
        <w:ind w:left="0"/>
        <w:jc w:val="both"/>
      </w:pPr>
      <w:r>
        <w:drawing>
          <wp:inline distT="0" distB="0" distL="0" distR="0">
            <wp:extent cx="2197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97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present value of future cash flows;</w:t>
      </w:r>
    </w:p>
    <w:p>
      <w:pPr>
        <w:spacing w:after="0"/>
        <w:ind w:left="0"/>
        <w:jc w:val="both"/>
      </w:pPr>
      <w:r>
        <w:rPr>
          <w:rFonts w:ascii="Times New Roman"/>
          <w:b w:val="false"/>
          <w:i w:val="false"/>
          <w:color w:val="000000"/>
          <w:sz w:val="28"/>
        </w:rPr>
        <w:t>
       CF - forecast of future cash flows;</w:t>
      </w:r>
    </w:p>
    <w:p>
      <w:pPr>
        <w:spacing w:after="0"/>
        <w:ind w:left="0"/>
        <w:jc w:val="both"/>
      </w:pPr>
      <w:r>
        <w:rPr>
          <w:rFonts w:ascii="Times New Roman"/>
          <w:b w:val="false"/>
          <w:i w:val="false"/>
          <w:color w:val="000000"/>
          <w:sz w:val="28"/>
        </w:rPr>
        <w:t>
       r - effective interest rate;</w:t>
      </w:r>
    </w:p>
    <w:p>
      <w:pPr>
        <w:spacing w:after="0"/>
        <w:ind w:left="0"/>
        <w:jc w:val="both"/>
      </w:pPr>
      <w:r>
        <w:rPr>
          <w:rFonts w:ascii="Times New Roman"/>
          <w:b w:val="false"/>
          <w:i w:val="false"/>
          <w:color w:val="000000"/>
          <w:sz w:val="28"/>
        </w:rPr>
        <w:t>
       t - number of years during which the cash flow of the financial asset is assumed.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creating provisions</w:t>
            </w:r>
            <w:r>
              <w:br/>
            </w:r>
            <w:r>
              <w:rPr>
                <w:rFonts w:ascii="Times New Roman"/>
                <w:b w:val="false"/>
                <w:i w:val="false"/>
                <w:color w:val="000000"/>
                <w:sz w:val="20"/>
              </w:rPr>
              <w:t>(reserves) in accordance with international standards</w:t>
            </w:r>
            <w:r>
              <w:br/>
            </w:r>
            <w:r>
              <w:rPr>
                <w:rFonts w:ascii="Times New Roman"/>
                <w:b w:val="false"/>
                <w:i w:val="false"/>
                <w:color w:val="000000"/>
                <w:sz w:val="20"/>
              </w:rPr>
              <w:t>of financial recording and requirements of the legislation</w:t>
            </w:r>
            <w:r>
              <w:br/>
            </w:r>
            <w:r>
              <w:rPr>
                <w:rFonts w:ascii="Times New Roman"/>
                <w:b w:val="false"/>
                <w:i w:val="false"/>
                <w:color w:val="000000"/>
                <w:sz w:val="20"/>
              </w:rPr>
              <w:t xml:space="preserve">of the Republic of Kazakhstan on accounting </w:t>
            </w:r>
            <w:r>
              <w:br/>
            </w:r>
            <w:r>
              <w:rPr>
                <w:rFonts w:ascii="Times New Roman"/>
                <w:b w:val="false"/>
                <w:i w:val="false"/>
                <w:color w:val="000000"/>
                <w:sz w:val="20"/>
              </w:rPr>
              <w:t>and financial reporting</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on the size of provisions (reserves)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identification number</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contract</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contract in the accounting information system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loan</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repayment of the last payment under the contract</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homogeneity (1-individual; 2-homogeneous)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credit risk (A-1 basket; B-2 basket; C-3 basket)</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grouping by general characteristics of credit risk</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beginning of the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provisions (reserves) at the beginning of the year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size of the right of claim,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the size of the right of claim, including:</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end of the year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 Premium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indicators affecting the size of the asset (in value terms)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provisions (reserves) at the end of the year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security at the end of the year</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reducing of provisions (reserves) for the period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creating provisions (reserves) for the period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a result of the debtor's performance of the claim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grounds</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a result of issue of a loan, accrual of interest, penalty, forfeit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grounds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creating provisions </w:t>
            </w:r>
            <w:r>
              <w:br/>
            </w:r>
            <w:r>
              <w:rPr>
                <w:rFonts w:ascii="Times New Roman"/>
                <w:b w:val="false"/>
                <w:i w:val="false"/>
                <w:color w:val="000000"/>
                <w:sz w:val="20"/>
              </w:rPr>
              <w:t xml:space="preserve">(reserves) in accordance with international financial reporting </w:t>
            </w:r>
            <w:r>
              <w:br/>
            </w:r>
            <w:r>
              <w:rPr>
                <w:rFonts w:ascii="Times New Roman"/>
                <w:b w:val="false"/>
                <w:i w:val="false"/>
                <w:color w:val="000000"/>
                <w:sz w:val="20"/>
              </w:rPr>
              <w:t xml:space="preserve">standards and the requirements  of the legislation of the </w:t>
            </w:r>
            <w:r>
              <w:br/>
            </w:r>
            <w:r>
              <w:rPr>
                <w:rFonts w:ascii="Times New Roman"/>
                <w:b w:val="false"/>
                <w:i w:val="false"/>
                <w:color w:val="000000"/>
                <w:sz w:val="20"/>
              </w:rPr>
              <w:t xml:space="preserve">Republic of Kazakhstan  on accounting </w:t>
            </w:r>
            <w:r>
              <w:br/>
            </w:r>
            <w:r>
              <w:rPr>
                <w:rFonts w:ascii="Times New Roman"/>
                <w:b w:val="false"/>
                <w:i w:val="false"/>
                <w:color w:val="000000"/>
                <w:sz w:val="20"/>
              </w:rPr>
              <w:t>and financial reporting</w:t>
            </w:r>
          </w:p>
        </w:tc>
      </w:tr>
    </w:tbl>
    <w:p>
      <w:pPr>
        <w:spacing w:after="0"/>
        <w:ind w:left="0"/>
        <w:jc w:val="left"/>
      </w:pPr>
      <w:r>
        <w:rPr>
          <w:rFonts w:ascii="Times New Roman"/>
          <w:b/>
          <w:i w:val="false"/>
          <w:color w:val="000000"/>
        </w:rPr>
        <w:t xml:space="preserve"> Administrative data collection form</w:t>
      </w:r>
    </w:p>
    <w:p>
      <w:pPr>
        <w:spacing w:after="0"/>
        <w:ind w:left="0"/>
        <w:jc w:val="both"/>
      </w:pPr>
      <w:r>
        <w:rPr>
          <w:rFonts w:ascii="Times New Roman"/>
          <w:b w:val="false"/>
          <w:i w:val="false"/>
          <w:color w:val="ff0000"/>
          <w:sz w:val="28"/>
        </w:rPr>
        <w:t>
      Footnote. Appendix 5 – in the wording of the Resolution of the Management Board of the Agency of the RK for Regulation and Development of the Financial Market dated 11.02.2021  № 20 (shall enter into force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form of administrative data shall be posted on the Internet resource: www.finreg.kz</w:t>
      </w:r>
    </w:p>
    <w:p>
      <w:pPr>
        <w:spacing w:after="0"/>
        <w:ind w:left="0"/>
        <w:jc w:val="left"/>
      </w:pPr>
      <w:r>
        <w:rPr>
          <w:rFonts w:ascii="Times New Roman"/>
          <w:b/>
          <w:i w:val="false"/>
          <w:color w:val="000000"/>
        </w:rPr>
        <w:t xml:space="preserve"> Information on introduction of amendments and/or additions to the Methodology for calculation of provisions (reserves)</w:t>
      </w:r>
    </w:p>
    <w:p>
      <w:pPr>
        <w:spacing w:after="0"/>
        <w:ind w:left="0"/>
        <w:jc w:val="both"/>
      </w:pPr>
      <w:r>
        <w:rPr>
          <w:rFonts w:ascii="Times New Roman"/>
          <w:b w:val="false"/>
          <w:i w:val="false"/>
          <w:color w:val="000000"/>
          <w:sz w:val="28"/>
        </w:rPr>
        <w:t>
      Administrative data form index: Ф1-БВУ.</w:t>
      </w:r>
    </w:p>
    <w:p>
      <w:pPr>
        <w:spacing w:after="0"/>
        <w:ind w:left="0"/>
        <w:jc w:val="both"/>
      </w:pPr>
      <w:r>
        <w:rPr>
          <w:rFonts w:ascii="Times New Roman"/>
          <w:b w:val="false"/>
          <w:i w:val="false"/>
          <w:color w:val="000000"/>
          <w:sz w:val="28"/>
        </w:rPr>
        <w:t>
      Periodicity: as necessary to introduce amendments and/or additions to the Methodology for calculation of provisions (reserves).</w:t>
      </w:r>
    </w:p>
    <w:p>
      <w:pPr>
        <w:spacing w:after="0"/>
        <w:ind w:left="0"/>
        <w:jc w:val="both"/>
      </w:pPr>
      <w:r>
        <w:rPr>
          <w:rFonts w:ascii="Times New Roman"/>
          <w:b w:val="false"/>
          <w:i w:val="false"/>
          <w:color w:val="000000"/>
          <w:sz w:val="28"/>
        </w:rPr>
        <w:t>
      Reporting period: as of _______________"____" , 20 __.</w:t>
      </w:r>
    </w:p>
    <w:p>
      <w:pPr>
        <w:spacing w:after="0"/>
        <w:ind w:left="0"/>
        <w:jc w:val="both"/>
      </w:pPr>
      <w:r>
        <w:rPr>
          <w:rFonts w:ascii="Times New Roman"/>
          <w:b w:val="false"/>
          <w:i w:val="false"/>
          <w:color w:val="000000"/>
          <w:sz w:val="28"/>
        </w:rPr>
        <w:t>
      The circle of persons presenting information: banks (with the exception of a bank that is a national development institute, a controlling stake in which belongs to the national managing holding), branches of non-resident banks of the Republic of Kazakhstan and organizations that carry out certain types of banking operations on the basis of a license to conduct bank borrowing operations.</w:t>
      </w:r>
    </w:p>
    <w:p>
      <w:pPr>
        <w:spacing w:after="0"/>
        <w:ind w:left="0"/>
        <w:jc w:val="both"/>
      </w:pPr>
      <w:r>
        <w:rPr>
          <w:rFonts w:ascii="Times New Roman"/>
          <w:b w:val="false"/>
          <w:i w:val="false"/>
          <w:color w:val="000000"/>
          <w:sz w:val="28"/>
        </w:rPr>
        <w:t>
      Due Date:</w:t>
      </w:r>
    </w:p>
    <w:p>
      <w:pPr>
        <w:spacing w:after="0"/>
        <w:ind w:left="0"/>
        <w:jc w:val="both"/>
      </w:pPr>
      <w:r>
        <w:rPr>
          <w:rFonts w:ascii="Times New Roman"/>
          <w:b w:val="false"/>
          <w:i w:val="false"/>
          <w:color w:val="000000"/>
          <w:sz w:val="28"/>
        </w:rPr>
        <w:t>
      no later than five working days from the date of approval of amendments and/or additions to the Methodology for calculating provisions (reserves) by the executive body of the bank (with the exception of the bank, which is a national development institute, the controlling stake of which belongs to the national managing holding), the non-resident bank of the Republic of Kazakhstan (for the branch of the non-resident bank of the Republic of Kazakhstan), organizations that carry out certain types of banking operations on the basis of a license for banking borrowing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KZT thousand)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подпункт Методики расчета провизий (резервов)</w:t>
            </w:r>
          </w:p>
          <w:p>
            <w:pPr>
              <w:spacing w:after="20"/>
              <w:ind w:left="20"/>
              <w:jc w:val="both"/>
            </w:pPr>
            <w:r>
              <w:rPr>
                <w:rFonts w:ascii="Times New Roman"/>
                <w:b w:val="false"/>
                <w:i w:val="false"/>
                <w:color w:val="000000"/>
                <w:sz w:val="20"/>
              </w:rPr>
              <w:t>
Paragraph, sub-paragraph of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Wording before introducing amendments and/or additions to the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Wording after introducing amendments and/or additions to the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introduction of amendments and (or) additions to the Methodology for calculation of provisions (reserves) and comments on the grounds for introduction of amendments and (or) additions to the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introduction of amendments in the amount of provisions (reserves) as a result of the introduction of amendments and (or) additions to the Methodology for calculating provisions (reserves)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 Address ________________________</w:t>
      </w:r>
    </w:p>
    <w:p>
      <w:pPr>
        <w:spacing w:after="0"/>
        <w:ind w:left="0"/>
        <w:jc w:val="both"/>
      </w:pPr>
      <w:r>
        <w:rPr>
          <w:rFonts w:ascii="Times New Roman"/>
          <w:b w:val="false"/>
          <w:i w:val="false"/>
          <w:color w:val="000000"/>
          <w:sz w:val="28"/>
        </w:rPr>
        <w:t>
      Phone 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Executor ____________________________________________ ________________</w:t>
      </w:r>
    </w:p>
    <w:p>
      <w:pPr>
        <w:spacing w:after="0"/>
        <w:ind w:left="0"/>
        <w:jc w:val="both"/>
      </w:pPr>
      <w:r>
        <w:rPr>
          <w:rFonts w:ascii="Times New Roman"/>
          <w:b w:val="false"/>
          <w:i w:val="false"/>
          <w:color w:val="000000"/>
          <w:sz w:val="28"/>
        </w:rPr>
        <w:t>
      last name, first name and patronymic (if any)</w:t>
      </w:r>
    </w:p>
    <w:p>
      <w:pPr>
        <w:spacing w:after="0"/>
        <w:ind w:left="0"/>
        <w:jc w:val="both"/>
      </w:pPr>
      <w:r>
        <w:rPr>
          <w:rFonts w:ascii="Times New Roman"/>
          <w:b w:val="false"/>
          <w:i w:val="false"/>
          <w:color w:val="000000"/>
          <w:sz w:val="28"/>
        </w:rPr>
        <w:t>
      Head manager or person</w:t>
      </w:r>
    </w:p>
    <w:p>
      <w:pPr>
        <w:spacing w:after="0"/>
        <w:ind w:left="0"/>
        <w:jc w:val="both"/>
      </w:pPr>
      <w:r>
        <w:rPr>
          <w:rFonts w:ascii="Times New Roman"/>
          <w:b w:val="false"/>
          <w:i w:val="false"/>
          <w:color w:val="000000"/>
          <w:sz w:val="28"/>
        </w:rPr>
        <w:t>
      authorized by him to sign the report</w:t>
      </w:r>
    </w:p>
    <w:p>
      <w:pPr>
        <w:spacing w:after="0"/>
        <w:ind w:left="0"/>
        <w:jc w:val="both"/>
      </w:pPr>
      <w:r>
        <w:rPr>
          <w:rFonts w:ascii="Times New Roman"/>
          <w:b w:val="false"/>
          <w:i w:val="false"/>
          <w:color w:val="000000"/>
          <w:sz w:val="28"/>
        </w:rPr>
        <w:t>
      ____________________________________________________________ _________________</w:t>
      </w:r>
    </w:p>
    <w:p>
      <w:pPr>
        <w:spacing w:after="0"/>
        <w:ind w:left="0"/>
        <w:jc w:val="both"/>
      </w:pPr>
      <w:r>
        <w:rPr>
          <w:rFonts w:ascii="Times New Roman"/>
          <w:b w:val="false"/>
          <w:i w:val="false"/>
          <w:color w:val="000000"/>
          <w:sz w:val="28"/>
        </w:rPr>
        <w:t>
      last name, first name and patronymic (if any) signature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form of </w:t>
            </w:r>
            <w:r>
              <w:br/>
            </w:r>
            <w:r>
              <w:rPr>
                <w:rFonts w:ascii="Times New Roman"/>
                <w:b w:val="false"/>
                <w:i w:val="false"/>
                <w:color w:val="000000"/>
                <w:sz w:val="20"/>
              </w:rPr>
              <w:t xml:space="preserve">data on introduction of amendments and (or) </w:t>
            </w:r>
            <w:r>
              <w:br/>
            </w:r>
            <w:r>
              <w:rPr>
                <w:rFonts w:ascii="Times New Roman"/>
                <w:b w:val="false"/>
                <w:i w:val="false"/>
                <w:color w:val="000000"/>
                <w:sz w:val="20"/>
              </w:rPr>
              <w:t>additions to the Methodology</w:t>
            </w:r>
            <w:r>
              <w:br/>
            </w:r>
            <w:r>
              <w:rPr>
                <w:rFonts w:ascii="Times New Roman"/>
                <w:b w:val="false"/>
                <w:i w:val="false"/>
                <w:color w:val="000000"/>
                <w:sz w:val="20"/>
              </w:rPr>
              <w:t xml:space="preserve">of the calculation of provisions (reserves) </w:t>
            </w:r>
          </w:p>
        </w:tc>
      </w:tr>
    </w:tbl>
    <w:p>
      <w:pPr>
        <w:spacing w:after="0"/>
        <w:ind w:left="0"/>
        <w:jc w:val="left"/>
      </w:pPr>
      <w:r>
        <w:rPr>
          <w:rFonts w:ascii="Times New Roman"/>
          <w:b/>
          <w:i w:val="false"/>
          <w:color w:val="000000"/>
        </w:rPr>
        <w:t xml:space="preserve"> Explanation for filling out the administrative data form</w:t>
      </w:r>
      <w:r>
        <w:br/>
      </w:r>
      <w:r>
        <w:rPr>
          <w:rFonts w:ascii="Times New Roman"/>
          <w:b/>
          <w:i w:val="false"/>
          <w:color w:val="000000"/>
        </w:rPr>
        <w:t>Information on introduction of amendments and/or additions to the Methodology for calculation of provisions (reserves)</w:t>
      </w:r>
      <w:r>
        <w:br/>
      </w:r>
      <w:r>
        <w:rPr>
          <w:rFonts w:ascii="Times New Roman"/>
          <w:b/>
          <w:i w:val="false"/>
          <w:color w:val="000000"/>
        </w:rPr>
        <w:t xml:space="preserve">(index: Ф1-БВУ, periodicity: as necessary to introduce amendments and/or additions to the Methodology for calculation </w:t>
      </w:r>
      <w:r>
        <w:br/>
      </w:r>
      <w:r>
        <w:rPr>
          <w:rFonts w:ascii="Times New Roman"/>
          <w:b/>
          <w:i w:val="false"/>
          <w:color w:val="000000"/>
        </w:rPr>
        <w:t>of provisions (reserves)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explanation for filling out the administrative data form (hereinafter referred to as the Explanation) shall define the unified requirements for filling out the form "Information on introduction of amendments and (or) additions to the Methodology for calculating provisions (reserves)" (hereinafter referred to as the Form).</w:t>
      </w:r>
    </w:p>
    <w:p>
      <w:pPr>
        <w:spacing w:after="0"/>
        <w:ind w:left="0"/>
        <w:jc w:val="both"/>
      </w:pPr>
      <w:r>
        <w:rPr>
          <w:rFonts w:ascii="Times New Roman"/>
          <w:b w:val="false"/>
          <w:i w:val="false"/>
          <w:color w:val="000000"/>
          <w:sz w:val="28"/>
        </w:rPr>
        <w:t>
      2. The form have been developed in accordance with Article 1, paragraph 2-1, Article 250, paragraphs 1 and 3 of the Code of the Republic of Kazakhstan dated December 25, 2017 "On taxes and other mandatory payments to the budget" (Tax Code) and Article 16, paragraph 3, subparagraph 2) of the Law of the Republic of Kazakhstan dated March 19, 2010 "On state statistics."</w:t>
      </w:r>
    </w:p>
    <w:p>
      <w:pPr>
        <w:spacing w:after="0"/>
        <w:ind w:left="0"/>
        <w:jc w:val="both"/>
      </w:pPr>
      <w:r>
        <w:rPr>
          <w:rFonts w:ascii="Times New Roman"/>
          <w:b w:val="false"/>
          <w:i w:val="false"/>
          <w:color w:val="000000"/>
          <w:sz w:val="28"/>
        </w:rPr>
        <w:t>
      3. The form is filled out by the bank (with the exception of the bank, which is the national development institute, the controlling stake of which belongs to the national managing holding), a branch of the non-resident bank of the Republic of Kazakhstan and an organization that carries out certain types of banking operations on the basis of a license to conduct bank borrowing operations, when introducing amendments and (or) additions to the Methodology for calculating provisions (reserves).</w:t>
      </w:r>
    </w:p>
    <w:p>
      <w:pPr>
        <w:spacing w:after="0"/>
        <w:ind w:left="0"/>
        <w:jc w:val="both"/>
      </w:pPr>
      <w:r>
        <w:rPr>
          <w:rFonts w:ascii="Times New Roman"/>
          <w:b w:val="false"/>
          <w:i w:val="false"/>
          <w:color w:val="000000"/>
          <w:sz w:val="28"/>
        </w:rPr>
        <w:t>
      4. The unit of measure used to complete the Form shall be set in KZT thousand. The amount of less than KZT five hundred is rounded to zero, and the amount equal to KZT five hundred and above is rounded to KZT thousand.</w:t>
      </w:r>
    </w:p>
    <w:p>
      <w:pPr>
        <w:spacing w:after="0"/>
        <w:ind w:left="0"/>
        <w:jc w:val="both"/>
      </w:pPr>
      <w:r>
        <w:rPr>
          <w:rFonts w:ascii="Times New Roman"/>
          <w:b w:val="false"/>
          <w:i w:val="false"/>
          <w:color w:val="000000"/>
          <w:sz w:val="28"/>
        </w:rPr>
        <w:t>
      5. The form shall be signed by the head manager or person authorized by him to sign the report and the executor.</w:t>
      </w:r>
    </w:p>
    <w:p>
      <w:pPr>
        <w:spacing w:after="0"/>
        <w:ind w:left="0"/>
        <w:jc w:val="left"/>
      </w:pPr>
      <w:r>
        <w:rPr>
          <w:rFonts w:ascii="Times New Roman"/>
          <w:b/>
          <w:i w:val="false"/>
          <w:color w:val="000000"/>
        </w:rPr>
        <w:t xml:space="preserve"> Chapter 2. Explanation to completion of the Form</w:t>
      </w:r>
    </w:p>
    <w:p>
      <w:pPr>
        <w:spacing w:after="0"/>
        <w:ind w:left="0"/>
        <w:jc w:val="both"/>
      </w:pPr>
      <w:r>
        <w:rPr>
          <w:rFonts w:ascii="Times New Roman"/>
          <w:b w:val="false"/>
          <w:i w:val="false"/>
          <w:color w:val="000000"/>
          <w:sz w:val="28"/>
        </w:rPr>
        <w:t>
      6. When filling in column 2, the structural element of the Methodology for calculation of provisions (reserves) shall be indicated, to which amendments and (or) additions shall be introduced.</w:t>
      </w:r>
    </w:p>
    <w:p>
      <w:pPr>
        <w:spacing w:after="0"/>
        <w:ind w:left="0"/>
        <w:jc w:val="both"/>
      </w:pPr>
      <w:r>
        <w:rPr>
          <w:rFonts w:ascii="Times New Roman"/>
          <w:b w:val="false"/>
          <w:i w:val="false"/>
          <w:color w:val="000000"/>
          <w:sz w:val="28"/>
        </w:rPr>
        <w:t>
      7. Column 3shall indicate the wording of the structural element of the Methodology for calculation of provisions (reserves) before introduction of amendments and (or) additions.</w:t>
      </w:r>
    </w:p>
    <w:p>
      <w:pPr>
        <w:spacing w:after="0"/>
        <w:ind w:left="0"/>
        <w:jc w:val="both"/>
      </w:pPr>
      <w:r>
        <w:rPr>
          <w:rFonts w:ascii="Times New Roman"/>
          <w:b w:val="false"/>
          <w:i w:val="false"/>
          <w:color w:val="000000"/>
          <w:sz w:val="28"/>
        </w:rPr>
        <w:t>
      8. Column 4 shall indicate the wording of the structural element of the Methodology for calculation of provisions (reserves) after introduction of amendments and (or) additions.</w:t>
      </w:r>
    </w:p>
    <w:p>
      <w:pPr>
        <w:spacing w:after="0"/>
        <w:ind w:left="0"/>
        <w:jc w:val="both"/>
      </w:pPr>
      <w:r>
        <w:rPr>
          <w:rFonts w:ascii="Times New Roman"/>
          <w:b w:val="false"/>
          <w:i w:val="false"/>
          <w:color w:val="000000"/>
          <w:sz w:val="28"/>
        </w:rPr>
        <w:t>
      9. Column 5 shall indicate the reasons for the need to introduce amendments and/or additions to the Methodology for calculating provisions (reserves).</w:t>
      </w:r>
    </w:p>
    <w:p>
      <w:pPr>
        <w:spacing w:after="0"/>
        <w:ind w:left="0"/>
        <w:jc w:val="both"/>
      </w:pPr>
      <w:r>
        <w:rPr>
          <w:rFonts w:ascii="Times New Roman"/>
          <w:b w:val="false"/>
          <w:i w:val="false"/>
          <w:color w:val="000000"/>
          <w:sz w:val="28"/>
        </w:rPr>
        <w:t>
      10. Column 6 shall indicate the data of estimation of amendments in the number of provisions (reserves) as a result of introduction of amendments and/or additions introduced in the Methodology for calculation of provisions (reserves)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creating provisions </w:t>
            </w:r>
            <w:r>
              <w:br/>
            </w:r>
            <w:r>
              <w:rPr>
                <w:rFonts w:ascii="Times New Roman"/>
                <w:b w:val="false"/>
                <w:i w:val="false"/>
                <w:color w:val="000000"/>
                <w:sz w:val="20"/>
              </w:rPr>
              <w:t xml:space="preserve">(reserves) in accordance with international financial </w:t>
            </w:r>
            <w:r>
              <w:br/>
            </w:r>
            <w:r>
              <w:rPr>
                <w:rFonts w:ascii="Times New Roman"/>
                <w:b w:val="false"/>
                <w:i w:val="false"/>
                <w:color w:val="000000"/>
                <w:sz w:val="20"/>
              </w:rPr>
              <w:t xml:space="preserve">reporting standards and the requirements of the legislation </w:t>
            </w:r>
            <w:r>
              <w:br/>
            </w:r>
            <w:r>
              <w:rPr>
                <w:rFonts w:ascii="Times New Roman"/>
                <w:b w:val="false"/>
                <w:i w:val="false"/>
                <w:color w:val="000000"/>
                <w:sz w:val="20"/>
              </w:rPr>
              <w:t xml:space="preserve">of the Republic of Kazakhstan on accounting </w:t>
            </w:r>
            <w:r>
              <w:br/>
            </w:r>
            <w:r>
              <w:rPr>
                <w:rFonts w:ascii="Times New Roman"/>
                <w:b w:val="false"/>
                <w:i w:val="false"/>
                <w:color w:val="000000"/>
                <w:sz w:val="20"/>
              </w:rPr>
              <w:t>and financial reporting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on absence or presence of comments to the Methodology for calculating </w:t>
      </w:r>
      <w:r>
        <w:br/>
      </w:r>
      <w:r>
        <w:rPr>
          <w:rFonts w:ascii="Times New Roman"/>
          <w:b/>
          <w:i w:val="false"/>
          <w:color w:val="000000"/>
        </w:rPr>
        <w:t xml:space="preserve">provisions (reserves) and (or) changes and (or) additions to the Methodology for calculating </w:t>
      </w:r>
      <w:r>
        <w:br/>
      </w:r>
      <w:r>
        <w:rPr>
          <w:rFonts w:ascii="Times New Roman"/>
          <w:b/>
          <w:i w:val="false"/>
          <w:color w:val="000000"/>
        </w:rPr>
        <w:t>provisions (reserves)</w:t>
      </w:r>
    </w:p>
    <w:p>
      <w:pPr>
        <w:spacing w:after="0"/>
        <w:ind w:left="0"/>
        <w:jc w:val="both"/>
      </w:pPr>
      <w:r>
        <w:rPr>
          <w:rFonts w:ascii="Times New Roman"/>
          <w:b w:val="false"/>
          <w:i w:val="false"/>
          <w:color w:val="ff0000"/>
          <w:sz w:val="28"/>
        </w:rPr>
        <w:t>
      Footnote. Appendix 6 is in the wording by the Decree of the Board of the National Bank of the Republic of Kazakhstan dated 29.11.2019 No. 230 (shall be enforced from 01.01.2020).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20___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The authorized authority for regulation, control and supervision of financial market and financial organizations hereby inform you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(financial organization name)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of a financial organization)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absence of comments to the Methodology for calculating provisions (reserves) and (or) changes and (or) additions to the Methodology for calculating provisions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presence of comments to the Methodology for calculating provisions (reserves) and (or) changes and (or) additions to the Methodology for calculating provisions (reserves) according to the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term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or Deputy First Head of the authorized authority for regulation, control and supervision of financial market and financial organizations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Executor ________________________________________________________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Notification received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(surname, name, patronymic (if any) of an employee </w:t>
      </w:r>
    </w:p>
    <w:p>
      <w:pPr>
        <w:spacing w:after="0"/>
        <w:ind w:left="0"/>
        <w:jc w:val="both"/>
      </w:pPr>
      <w:r>
        <w:rPr>
          <w:rFonts w:ascii="Times New Roman"/>
          <w:b w:val="false"/>
          <w:i w:val="false"/>
          <w:color w:val="000000"/>
          <w:sz w:val="28"/>
        </w:rPr>
        <w:t>
      of a financial organization, signature, date)</w:t>
      </w:r>
    </w:p>
    <w:p>
      <w:pPr>
        <w:spacing w:after="0"/>
        <w:ind w:left="0"/>
        <w:jc w:val="both"/>
      </w:pPr>
      <w:r>
        <w:rPr>
          <w:rFonts w:ascii="Times New Roman"/>
          <w:b w:val="false"/>
          <w:i w:val="false"/>
          <w:color w:val="000000"/>
          <w:sz w:val="28"/>
        </w:rPr>
        <w:t xml:space="preserve">
      Notification sent to financial organization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date, number of document confirming the fact of sending and (or) receiving)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w:t>
            </w:r>
            <w:r>
              <w:br/>
            </w:r>
            <w:r>
              <w:rPr>
                <w:rFonts w:ascii="Times New Roman"/>
                <w:b w:val="false"/>
                <w:i w:val="false"/>
                <w:color w:val="000000"/>
                <w:sz w:val="20"/>
              </w:rPr>
              <w:t>Management Board</w:t>
            </w:r>
            <w:r>
              <w:br/>
            </w:r>
            <w:r>
              <w:rPr>
                <w:rFonts w:ascii="Times New Roman"/>
                <w:b w:val="false"/>
                <w:i w:val="false"/>
                <w:color w:val="000000"/>
                <w:sz w:val="20"/>
              </w:rPr>
              <w:t>of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22, 2017 </w:t>
            </w:r>
            <w:r>
              <w:br/>
            </w:r>
            <w:r>
              <w:rPr>
                <w:rFonts w:ascii="Times New Roman"/>
                <w:b w:val="false"/>
                <w:i w:val="false"/>
                <w:color w:val="000000"/>
                <w:sz w:val="20"/>
              </w:rPr>
              <w:t>No. 269</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resolutions of the Management Board of the National Bank </w:t>
      </w:r>
      <w:r>
        <w:br/>
      </w:r>
      <w:r>
        <w:rPr>
          <w:rFonts w:ascii="Times New Roman"/>
          <w:b/>
          <w:i w:val="false"/>
          <w:color w:val="000000"/>
        </w:rPr>
        <w:t>of the Republic of Kazakhstan recognized as invalid</w:t>
      </w:r>
    </w:p>
    <w:p>
      <w:pPr>
        <w:spacing w:after="0"/>
        <w:ind w:left="0"/>
        <w:jc w:val="both"/>
      </w:pPr>
      <w:r>
        <w:rPr>
          <w:rFonts w:ascii="Times New Roman"/>
          <w:b w:val="false"/>
          <w:i w:val="false"/>
          <w:color w:val="000000"/>
          <w:sz w:val="28"/>
        </w:rPr>
        <w:t>
      1. Resolution of the Board of the National Bank of the Republic of Kazakhstan dated February 25, 2013 No. 65 "On approval of the Rules for the creation of provisions (reserves) in accordance with international financial reporting standards and the requirements of the legislation of the Republic of Kazakhstan on accounting and financial statements" (registered in the Register of State Registration of Regulatory Legal Acts under No. 8670, published on October 17, 2013 in the Kazakhstani Pravda newspaper No. 295 (27569)).</w:t>
      </w:r>
    </w:p>
    <w:p>
      <w:pPr>
        <w:spacing w:after="0"/>
        <w:ind w:left="0"/>
        <w:jc w:val="both"/>
      </w:pPr>
      <w:r>
        <w:rPr>
          <w:rFonts w:ascii="Times New Roman"/>
          <w:b w:val="false"/>
          <w:i w:val="false"/>
          <w:color w:val="000000"/>
          <w:sz w:val="28"/>
        </w:rPr>
        <w:t>
      2. Resolution of the Board of the National Bank of the Republic of Kazakhstan dated December 25, 2013 No. 289 "On introduction of the amendments of the Resolution of the Board of the National Bank of the Republic of Kazakhstan dated February 25, 2013 No. 65 "On approval of the Rules for the creation of provisions (reserves) in accordance with international financial reporting standards and the requirements of the legislation of the Republic of Kazakhstan on accounting and financial statements " (registered in the Register of State Registration of Regulatory Legal Acts under No. 9387, published on May 22, 2014 in the information and legal system "Adіlet").</w:t>
      </w:r>
    </w:p>
    <w:p>
      <w:pPr>
        <w:spacing w:after="0"/>
        <w:ind w:left="0"/>
        <w:jc w:val="both"/>
      </w:pPr>
      <w:r>
        <w:rPr>
          <w:rFonts w:ascii="Times New Roman"/>
          <w:b w:val="false"/>
          <w:i w:val="false"/>
          <w:color w:val="000000"/>
          <w:sz w:val="28"/>
        </w:rPr>
        <w:t>
      3. Resolution Board of the National Bank of the Republic of Kazakhstan dated June 27, 2016 No. 152 "On introduction of the amendments of the Resolution of the Board of the National Bank of the Republic of Kazakhstan dated February 25, 2013 No. 65" On approval of the Rules for the creation of provisions (reserves) in accordance with international financial reporting standards and the requirements of the legislation of the Republic of Kazakhstan on accounting and financial statements " (registered in the Register of State Registration of Regulatory Legal Acts under No. 14153, published on September 20, 2016 in the information and legal system "Adіlet"). 3. Resolution of the Board of the National Bank of the Republic of Kazakhstan dated June 27, 2016 No. 152 "On introduction of the amendments of the Resolution of the Board of the National Bank of the Republic of Kazakhstan dated February 25, 2013 No. 65" On approval of the Rules for the creation of provisions (reserves) in accordance with international financial reporting standards and the requirements of the legislation of the Republic of Kazakhstan on accounting and financial statements " (registered in the Register of State Registration of Regulatory Legal Acts under No. 14153, published on September 20, 2016 in the information and legal system "Adіlet").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