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ac30" w14:textId="cb3ac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Publishing in the Bulletin Data Concerning Registration of Selection Achievements, Industrial Property Items, Trademarks, Geographical Indications, Appellations of Origin of Goods and Topographies of Integrated Circuits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of August 29, 2018 No. 1348. Registered with the Ministry of Justice of the Republic of Kazakhstan on September 14, 2018 No. 17376.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 as reworded by Order of the Minister of Justice of the Republic of Kazakhstan No. 692 dated 18.08.2022 (shall be put into effect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Under sub-paragraph 3) of paragraph 2 of Article 3-1 of the Law of the Republic of Kazakhstan “On Protection of Selection Achievements”, under sub-paragraph 3) of paragraph 2 of Article 4 of the Law of the Republic of Kazakhstan “Patent Law of the Republic of Kazakhstan”, under sub-paragraph 3) of paragraph 2 of Article 3 of the Law of the Republic of Kazakhstan “On Trademarks, Service Marks, Geographical Indications and Appellations of Origin of Goods”, under sub-paragraph 3) of Article 4 of the Law of the Republic of Kazakhstan “On Legal Protection of Topologies of Integrated Circuits”,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Order of the Minister of Justice of the Republic of Kazakhstan No. 692 dated 18.08.2022 (shall come into effect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Rules for publishing information relating to the registration of selection achievements, industrial properties, trademarks and appellations of origin of goods, on registered topologies in the bulletin in accordance with the Appendix to this Order. </w:t>
      </w:r>
    </w:p>
    <w:p>
      <w:pPr>
        <w:spacing w:after="0"/>
        <w:ind w:left="0"/>
        <w:jc w:val="both"/>
      </w:pPr>
      <w:r>
        <w:rPr>
          <w:rFonts w:ascii="Times New Roman"/>
          <w:b w:val="false"/>
          <w:i w:val="false"/>
          <w:color w:val="000000"/>
          <w:sz w:val="28"/>
        </w:rPr>
        <w:t>
      2. The Department of Intellectual Property Rights of the Ministry of Justice of the Republic of Kazakhstan shall:</w:t>
      </w:r>
    </w:p>
    <w:p>
      <w:pPr>
        <w:spacing w:after="0"/>
        <w:ind w:left="0"/>
        <w:jc w:val="both"/>
      </w:pPr>
      <w:r>
        <w:rPr>
          <w:rFonts w:ascii="Times New Roman"/>
          <w:b w:val="false"/>
          <w:i w:val="false"/>
          <w:color w:val="000000"/>
          <w:sz w:val="28"/>
        </w:rPr>
        <w:t xml:space="preserve">
       1) ensure state registration of this order with the Ministry of Justice of the Republic of Kazakhstan; </w:t>
      </w:r>
    </w:p>
    <w:p>
      <w:pPr>
        <w:spacing w:after="0"/>
        <w:ind w:left="0"/>
        <w:jc w:val="both"/>
      </w:pPr>
      <w:r>
        <w:rPr>
          <w:rFonts w:ascii="Times New Roman"/>
          <w:b w:val="false"/>
          <w:i w:val="false"/>
          <w:color w:val="000000"/>
          <w:sz w:val="28"/>
        </w:rPr>
        <w:t>
      2) within ten calendar days of the state registration of this order with the Ministry of Justice of the Republic of Kazakhstan, send it in Kazakh and Russian to the Republican State Enterprise with the Right of Economic Management “Republican Center of Legal Information” for its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place this order on the official website of the Ministry of Justice of the Republic of Kazakhstan after its official publication.</w:t>
      </w:r>
    </w:p>
    <w:p>
      <w:pPr>
        <w:spacing w:after="0"/>
        <w:ind w:left="0"/>
        <w:jc w:val="both"/>
      </w:pPr>
      <w:r>
        <w:rPr>
          <w:rFonts w:ascii="Times New Roman"/>
          <w:b w:val="false"/>
          <w:i w:val="false"/>
          <w:color w:val="000000"/>
          <w:sz w:val="28"/>
        </w:rPr>
        <w:t>
      3. Control over execution of this order shall be entrusted to the supervising Vice-minister of Justice of the Republic of Kazakhstan.</w:t>
      </w:r>
    </w:p>
    <w:p>
      <w:pPr>
        <w:spacing w:after="0"/>
        <w:ind w:left="0"/>
        <w:jc w:val="both"/>
      </w:pPr>
      <w:r>
        <w:rPr>
          <w:rFonts w:ascii="Times New Roman"/>
          <w:b w:val="false"/>
          <w:i w:val="false"/>
          <w:color w:val="000000"/>
          <w:sz w:val="28"/>
        </w:rPr>
        <w:t>
      4. This order shall take effect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Justice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Beketayev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1348 of the Minister</w:t>
            </w:r>
            <w:r>
              <w:br/>
            </w:r>
            <w:r>
              <w:rPr>
                <w:rFonts w:ascii="Times New Roman"/>
                <w:b w:val="false"/>
                <w:i w:val="false"/>
                <w:color w:val="000000"/>
                <w:sz w:val="20"/>
              </w:rPr>
              <w:t>of Justice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as of August 29, 2018 </w:t>
            </w:r>
          </w:p>
        </w:tc>
      </w:tr>
    </w:tbl>
    <w:p>
      <w:pPr>
        <w:spacing w:after="0"/>
        <w:ind w:left="0"/>
        <w:jc w:val="left"/>
      </w:pPr>
      <w:r>
        <w:rPr>
          <w:rFonts w:ascii="Times New Roman"/>
          <w:b/>
          <w:i w:val="false"/>
          <w:color w:val="000000"/>
        </w:rPr>
        <w:t xml:space="preserve"> Rules  for Publishing in the Bulletin Data Concerning Registration of Selection Achievements, Industrial Property Items,  Trademarks, Geographical Indications, Appellations of Origin of Goods and Topographies of Integrated Circuits</w:t>
      </w:r>
    </w:p>
    <w:p>
      <w:pPr>
        <w:spacing w:after="0"/>
        <w:ind w:left="0"/>
        <w:jc w:val="both"/>
      </w:pPr>
      <w:r>
        <w:rPr>
          <w:rFonts w:ascii="Times New Roman"/>
          <w:b w:val="false"/>
          <w:i w:val="false"/>
          <w:color w:val="ff0000"/>
          <w:sz w:val="28"/>
        </w:rPr>
        <w:t>
      Footnote. The title - as reworded by Order of the Minister of Justice of the Republic of Kazakhstan No. 692 dated 18.08.2022 (shall become effective ten calendar days after the date of its first official publication).</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val="false"/>
          <w:i w:val="false"/>
          <w:color w:val="000000"/>
          <w:sz w:val="28"/>
        </w:rPr>
        <w:t>
      1. The Rules for Publishing in the Bulletin the Data Concerning Registration of Selection Achievements, Industrial Property Objects, Trademarks, Geographical Indications, Appellations of Origin of Goods and Topologies of Integrated Circuits (hereinafter - the Rules) have been developed under the Law of the Republic of Kazakhstan “Patent Law of the Republic of Kazakhstan” (hereinafter - the Patent Law), “On Trademarks, Service Marks, Geographical Indications and Appellations of Origin of Goods” (hereinafter - the Law on Trademarks), “On Protection of Selective Selection Achievements”, “On Legal Protection of Topologies of Integrated Circuits” and establish the procedure for publishing in the bulletin “Onerkassip Menshigi - Industrial Property” (hereinafter referred to as the Bulletin) the data regarding the registration of selective Selection Achievements, industrial property items, trademarks, geographical indications, appellations of origin of goods and topologies of integrated circuits.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reworded by Order of the Minister of Justice of the Republic of Kazakhstan No. 692 dated 18.08.2022 (shall come into effect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terms and definitions are used herein:</w:t>
      </w:r>
    </w:p>
    <w:p>
      <w:pPr>
        <w:spacing w:after="0"/>
        <w:ind w:left="0"/>
        <w:jc w:val="both"/>
      </w:pPr>
      <w:r>
        <w:rPr>
          <w:rFonts w:ascii="Times New Roman"/>
          <w:b w:val="false"/>
          <w:i w:val="false"/>
          <w:color w:val="000000"/>
          <w:sz w:val="28"/>
        </w:rPr>
        <w:t>
      1) a geographical indication is a designation identifying a product originating from the territory of a geographical object, the certain quality, reputation or other features of which are substantially related to its geographical origin. At least one of the stages of production of a commodity, which has a significant impact on the formation of its properties, must be implemented in the territory of a given geographical object;</w:t>
      </w:r>
    </w:p>
    <w:p>
      <w:pPr>
        <w:spacing w:after="0"/>
        <w:ind w:left="0"/>
        <w:jc w:val="both"/>
      </w:pPr>
      <w:r>
        <w:rPr>
          <w:rFonts w:ascii="Times New Roman"/>
          <w:b w:val="false"/>
          <w:i w:val="false"/>
          <w:color w:val="000000"/>
          <w:sz w:val="28"/>
        </w:rPr>
        <w:t>
      2) a commonly known trademark - a designation used as a trademark or a trademark recognised as commonly known by the decision of the competent authority based on the evidence of interested parties;</w:t>
      </w:r>
    </w:p>
    <w:p>
      <w:pPr>
        <w:spacing w:after="0"/>
        <w:ind w:left="0"/>
        <w:jc w:val="both"/>
      </w:pPr>
      <w:r>
        <w:rPr>
          <w:rFonts w:ascii="Times New Roman"/>
          <w:b w:val="false"/>
          <w:i w:val="false"/>
          <w:color w:val="000000"/>
          <w:sz w:val="28"/>
        </w:rPr>
        <w:t>
      3) an integrated microcircuit - a microelectronic device of final or intermediate form designed to fulfil the functions of an electronic circuit, with the elements and connections inseparably formed in the volume and (or) on the surface of the material upon the basis of which the device is manufactured;</w:t>
      </w:r>
    </w:p>
    <w:p>
      <w:pPr>
        <w:spacing w:after="0"/>
        <w:ind w:left="0"/>
        <w:jc w:val="both"/>
      </w:pPr>
      <w:r>
        <w:rPr>
          <w:rFonts w:ascii="Times New Roman"/>
          <w:b w:val="false"/>
          <w:i w:val="false"/>
          <w:color w:val="000000"/>
          <w:sz w:val="28"/>
        </w:rPr>
        <w:t>
      4) an integrated circuit topology is a spatial and geometric arrangement of a complex of elements of an integrated circuit and connections between them fixed on a material medium;</w:t>
      </w:r>
    </w:p>
    <w:p>
      <w:pPr>
        <w:spacing w:after="0"/>
        <w:ind w:left="0"/>
        <w:jc w:val="both"/>
      </w:pPr>
      <w:r>
        <w:rPr>
          <w:rFonts w:ascii="Times New Roman"/>
          <w:b w:val="false"/>
          <w:i w:val="false"/>
          <w:color w:val="000000"/>
          <w:sz w:val="28"/>
        </w:rPr>
        <w:t>
      5) State Registers - a register of recorded items of industrial property, selection achievements, trademarks, geographical indications and appellations of origin of goods, as well as topologies of integrated circuits;</w:t>
      </w:r>
    </w:p>
    <w:p>
      <w:pPr>
        <w:spacing w:after="0"/>
        <w:ind w:left="0"/>
        <w:jc w:val="both"/>
      </w:pPr>
      <w:r>
        <w:rPr>
          <w:rFonts w:ascii="Times New Roman"/>
          <w:b w:val="false"/>
          <w:i w:val="false"/>
          <w:color w:val="000000"/>
          <w:sz w:val="28"/>
        </w:rPr>
        <w:t>
      6) a patentee – the owner of the protection document;</w:t>
      </w:r>
    </w:p>
    <w:p>
      <w:pPr>
        <w:spacing w:after="0"/>
        <w:ind w:left="0"/>
        <w:jc w:val="both"/>
      </w:pPr>
      <w:r>
        <w:rPr>
          <w:rFonts w:ascii="Times New Roman"/>
          <w:b w:val="false"/>
          <w:i w:val="false"/>
          <w:color w:val="000000"/>
          <w:sz w:val="28"/>
        </w:rPr>
        <w:t>
      7) a patent attorney - a capable national of the Republic of Kazakhstan, permanently residing on its territory having higher educational background, experience in the field of protection and defence of intellectual property rights for at least four years or having passed an internship in the Chamber of Patent Attorneys for at least one year, having passed certification and entered in the Register of Patent Attorneys;</w:t>
      </w:r>
    </w:p>
    <w:p>
      <w:pPr>
        <w:spacing w:after="0"/>
        <w:ind w:left="0"/>
        <w:jc w:val="both"/>
      </w:pPr>
      <w:r>
        <w:rPr>
          <w:rFonts w:ascii="Times New Roman"/>
          <w:b w:val="false"/>
          <w:i w:val="false"/>
          <w:color w:val="000000"/>
          <w:sz w:val="28"/>
        </w:rPr>
        <w:t>
      8) an expert organisation - an organisation established by the decision of the Government of the Republic of Kazakhstan, approved by Decree of the Government of the Republic of Kazakhstan No. 756 of July 11, 2002 “On Establishment of the National Institute of Intellectual Property Republican State Enterprise of the Committee for Intellectual Property Rights of the Ministry of Justice of the Republic of Kazakhstan”, in the legal form of a republican state enterprise on the right of economic management, subordinated in its activities to the competent authority;</w:t>
      </w:r>
    </w:p>
    <w:p>
      <w:pPr>
        <w:spacing w:after="0"/>
        <w:ind w:left="0"/>
        <w:jc w:val="both"/>
      </w:pPr>
      <w:r>
        <w:rPr>
          <w:rFonts w:ascii="Times New Roman"/>
          <w:b w:val="false"/>
          <w:i w:val="false"/>
          <w:color w:val="000000"/>
          <w:sz w:val="28"/>
        </w:rPr>
        <w:t>
      9) a trademark, a service mark (hereinafter - trademark) - a designation registered under the Law on Trademarks or protected without registration by virtue of international treaties to which the Republic of Kazakhstan is a party, intended to distinguish goods (services) of certain legal entities or natural persons from homogeneous goods (services) of other legal entities or natural persons;</w:t>
      </w:r>
    </w:p>
    <w:p>
      <w:pPr>
        <w:spacing w:after="0"/>
        <w:ind w:left="0"/>
        <w:jc w:val="both"/>
      </w:pPr>
      <w:r>
        <w:rPr>
          <w:rFonts w:ascii="Times New Roman"/>
          <w:b w:val="false"/>
          <w:i w:val="false"/>
          <w:color w:val="000000"/>
          <w:sz w:val="28"/>
        </w:rPr>
        <w:t>
      10) an appellation of origin of goods - a designation representing or containing a modern or historical, official or unofficial, full or abbreviated name of a country, settlement, locality or other geographical object, including such name or a derivative of such name, which became known as a result of its use in relation to goods, the special qualities thereof being solely or mainly determined by the natural conditions and/or human factors characteristic of the geographical object in question. All stages of manufacturing of products, which have a significant impact on the formation of special properties of the product, must be implemented in the territory of this geographical object;</w:t>
      </w:r>
    </w:p>
    <w:p>
      <w:pPr>
        <w:spacing w:after="0"/>
        <w:ind w:left="0"/>
        <w:jc w:val="both"/>
      </w:pPr>
      <w:r>
        <w:rPr>
          <w:rFonts w:ascii="Times New Roman"/>
          <w:b w:val="false"/>
          <w:i w:val="false"/>
          <w:color w:val="000000"/>
          <w:sz w:val="28"/>
        </w:rPr>
        <w:t>
      11) the owner (right holder) of a trademark or the owner of the right to use a geographical indication and (or) the appellation of origin of goods - a natural person or a legal entity possessing the exclusive right to a trademark or the exclusive right to use a geographical indication and (or) the appellation of origin of goods under the Law of the Republic of Kazakhstan “On Trademarks, Service Marks, Geographical Indications and Appellations of Origin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reworded by Order of the Minister of Justice of the Republic of Kazakhstan No. 692 dated 18.08.2022 (shall become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order for publishing in the bulletin of information on the registration of inventions, utility models, industrial designs in State Registers </w:t>
      </w:r>
    </w:p>
    <w:p>
      <w:pPr>
        <w:spacing w:after="0"/>
        <w:ind w:left="0"/>
        <w:jc w:val="both"/>
      </w:pPr>
      <w:r>
        <w:rPr>
          <w:rFonts w:ascii="Times New Roman"/>
          <w:b w:val="false"/>
          <w:i w:val="false"/>
          <w:color w:val="000000"/>
          <w:sz w:val="28"/>
        </w:rPr>
        <w:t>
      3. On the basis of the registration in State Registers, the expert organization shall weekly publish in Kazakh and Russian in the official bulletin’s sections “Inventions – Өнертабыстар”, “Utility Models – Пайдалы модельдер”, “Industrial Designs - Өнеркәсiптiк үлгiлер”:</w:t>
      </w:r>
    </w:p>
    <w:p>
      <w:pPr>
        <w:spacing w:after="0"/>
        <w:ind w:left="0"/>
        <w:jc w:val="both"/>
      </w:pPr>
      <w:r>
        <w:rPr>
          <w:rFonts w:ascii="Times New Roman"/>
          <w:b w:val="false"/>
          <w:i w:val="false"/>
          <w:color w:val="000000"/>
          <w:sz w:val="28"/>
        </w:rPr>
        <w:t xml:space="preserve">
      1) the patent number; </w:t>
      </w:r>
    </w:p>
    <w:p>
      <w:pPr>
        <w:spacing w:after="0"/>
        <w:ind w:left="0"/>
        <w:jc w:val="both"/>
      </w:pPr>
      <w:r>
        <w:rPr>
          <w:rFonts w:ascii="Times New Roman"/>
          <w:b w:val="false"/>
          <w:i w:val="false"/>
          <w:color w:val="000000"/>
          <w:sz w:val="28"/>
        </w:rPr>
        <w:t>
      2) the index (indices) of the heading (headings) of International Patent Classification (hereinafter referred to as IPC), International Classification for Industrial Designs (hereinafter referred to as LOC);</w:t>
      </w:r>
    </w:p>
    <w:p>
      <w:pPr>
        <w:spacing w:after="0"/>
        <w:ind w:left="0"/>
        <w:jc w:val="both"/>
      </w:pPr>
      <w:r>
        <w:rPr>
          <w:rFonts w:ascii="Times New Roman"/>
          <w:b w:val="false"/>
          <w:i w:val="false"/>
          <w:color w:val="000000"/>
          <w:sz w:val="28"/>
        </w:rPr>
        <w:t xml:space="preserve">
      3) the application’s number and filing date; </w:t>
      </w:r>
    </w:p>
    <w:p>
      <w:pPr>
        <w:spacing w:after="0"/>
        <w:ind w:left="0"/>
        <w:jc w:val="both"/>
      </w:pPr>
      <w:r>
        <w:rPr>
          <w:rFonts w:ascii="Times New Roman"/>
          <w:b w:val="false"/>
          <w:i w:val="false"/>
          <w:color w:val="000000"/>
          <w:sz w:val="28"/>
        </w:rPr>
        <w:t>
      4) the date of the patent’s publication;</w:t>
      </w:r>
    </w:p>
    <w:p>
      <w:pPr>
        <w:spacing w:after="0"/>
        <w:ind w:left="0"/>
        <w:jc w:val="both"/>
      </w:pPr>
      <w:r>
        <w:rPr>
          <w:rFonts w:ascii="Times New Roman"/>
          <w:b w:val="false"/>
          <w:i w:val="false"/>
          <w:color w:val="000000"/>
          <w:sz w:val="28"/>
        </w:rPr>
        <w:t xml:space="preserve">
      5) the number, filing date and code in accordance with the standard of the World Intellectual Property Organization (hereinafter referred to as the WIPO) of a first-to-file country (the date of receipt of additional materials to the first application), on the basis of which application the invention’s priority was established if, according to the application, an earlier priority date is established than the date of filing the application with the expert organization; </w:t>
      </w:r>
    </w:p>
    <w:p>
      <w:pPr>
        <w:spacing w:after="0"/>
        <w:ind w:left="0"/>
        <w:jc w:val="both"/>
      </w:pPr>
      <w:r>
        <w:rPr>
          <w:rFonts w:ascii="Times New Roman"/>
          <w:b w:val="false"/>
          <w:i w:val="false"/>
          <w:color w:val="000000"/>
          <w:sz w:val="28"/>
        </w:rPr>
        <w:t xml:space="preserve">
      6) the number of the earlier publication, which is subject to “republication”; </w:t>
      </w:r>
    </w:p>
    <w:p>
      <w:pPr>
        <w:spacing w:after="0"/>
        <w:ind w:left="0"/>
        <w:jc w:val="both"/>
      </w:pPr>
      <w:r>
        <w:rPr>
          <w:rFonts w:ascii="Times New Roman"/>
          <w:b w:val="false"/>
          <w:i w:val="false"/>
          <w:color w:val="000000"/>
          <w:sz w:val="28"/>
        </w:rPr>
        <w:t xml:space="preserve">
      7) the date of the application’s entering the national phase in accordance with Articles 23 (1) or 40 (1) of the Patent Cooperation Treaty (hereinafter referred to as the PCT); </w:t>
      </w:r>
    </w:p>
    <w:p>
      <w:pPr>
        <w:spacing w:after="0"/>
        <w:ind w:left="0"/>
        <w:jc w:val="both"/>
      </w:pPr>
      <w:r>
        <w:rPr>
          <w:rFonts w:ascii="Times New Roman"/>
          <w:b w:val="false"/>
          <w:i w:val="false"/>
          <w:color w:val="000000"/>
          <w:sz w:val="28"/>
        </w:rPr>
        <w:t xml:space="preserve">
      8) the registration number of the international application and the international filing date established by the receiving office; </w:t>
      </w:r>
    </w:p>
    <w:p>
      <w:pPr>
        <w:spacing w:after="0"/>
        <w:ind w:left="0"/>
        <w:jc w:val="both"/>
      </w:pPr>
      <w:r>
        <w:rPr>
          <w:rFonts w:ascii="Times New Roman"/>
          <w:b w:val="false"/>
          <w:i w:val="false"/>
          <w:color w:val="000000"/>
          <w:sz w:val="28"/>
        </w:rPr>
        <w:t xml:space="preserve">
      9) the number and date of international publication of the international application; the name of the author (authors), in case the latter do not mind being mentioned as such, the code (codes) of the country of residence (location) of the author in accordance with the WIPO standard; </w:t>
      </w:r>
    </w:p>
    <w:p>
      <w:pPr>
        <w:spacing w:after="0"/>
        <w:ind w:left="0"/>
        <w:jc w:val="both"/>
      </w:pPr>
      <w:r>
        <w:rPr>
          <w:rFonts w:ascii="Times New Roman"/>
          <w:b w:val="false"/>
          <w:i w:val="false"/>
          <w:color w:val="000000"/>
          <w:sz w:val="28"/>
        </w:rPr>
        <w:t xml:space="preserve">
      10) the patent owner’s personal or business name, the code (codes) of the country of residence (location) of the patent owner in accordance with the WIPO standard; </w:t>
      </w:r>
    </w:p>
    <w:p>
      <w:pPr>
        <w:spacing w:after="0"/>
        <w:ind w:left="0"/>
        <w:jc w:val="both"/>
      </w:pPr>
      <w:r>
        <w:rPr>
          <w:rFonts w:ascii="Times New Roman"/>
          <w:b w:val="false"/>
          <w:i w:val="false"/>
          <w:color w:val="000000"/>
          <w:sz w:val="28"/>
        </w:rPr>
        <w:t xml:space="preserve">
      11) the name; </w:t>
      </w:r>
    </w:p>
    <w:p>
      <w:pPr>
        <w:spacing w:after="0"/>
        <w:ind w:left="0"/>
        <w:jc w:val="both"/>
      </w:pPr>
      <w:r>
        <w:rPr>
          <w:rFonts w:ascii="Times New Roman"/>
          <w:b w:val="false"/>
          <w:i w:val="false"/>
          <w:color w:val="000000"/>
          <w:sz w:val="28"/>
        </w:rPr>
        <w:t>
      12) the image;</w:t>
      </w:r>
    </w:p>
    <w:p>
      <w:pPr>
        <w:spacing w:after="0"/>
        <w:ind w:left="0"/>
        <w:jc w:val="both"/>
      </w:pPr>
      <w:r>
        <w:rPr>
          <w:rFonts w:ascii="Times New Roman"/>
          <w:b w:val="false"/>
          <w:i w:val="false"/>
          <w:color w:val="000000"/>
          <w:sz w:val="28"/>
        </w:rPr>
        <w:t xml:space="preserve">
      13) information on the patent attorney; </w:t>
      </w:r>
    </w:p>
    <w:p>
      <w:pPr>
        <w:spacing w:after="0"/>
        <w:ind w:left="0"/>
        <w:jc w:val="both"/>
      </w:pPr>
      <w:r>
        <w:rPr>
          <w:rFonts w:ascii="Times New Roman"/>
          <w:b w:val="false"/>
          <w:i w:val="false"/>
          <w:color w:val="000000"/>
          <w:sz w:val="28"/>
        </w:rPr>
        <w:t xml:space="preserve">
      14) the formula, the list of essential features of the industrial design. </w:t>
      </w:r>
    </w:p>
    <w:p>
      <w:pPr>
        <w:spacing w:after="0"/>
        <w:ind w:left="0"/>
        <w:jc w:val="both"/>
      </w:pPr>
      <w:r>
        <w:rPr>
          <w:rFonts w:ascii="Times New Roman"/>
          <w:b w:val="false"/>
          <w:i w:val="false"/>
          <w:color w:val="000000"/>
          <w:sz w:val="28"/>
        </w:rPr>
        <w:t>
      The expert organization shall publish in the bulletin information on the issuance of a patent for an invention upon expiration of eighteen months, and information on the issuance of a patent for a utility model and industrial design – upon expiration of twelve months from the application’s filing date. At the applicant’s written request, the expert organization publishes information before the indicated deadline.</w:t>
      </w:r>
    </w:p>
    <w:p>
      <w:pPr>
        <w:spacing w:after="0"/>
        <w:ind w:left="0"/>
        <w:jc w:val="both"/>
      </w:pPr>
      <w:r>
        <w:rPr>
          <w:rFonts w:ascii="Times New Roman"/>
          <w:b w:val="false"/>
          <w:i w:val="false"/>
          <w:color w:val="000000"/>
          <w:sz w:val="28"/>
        </w:rPr>
        <w:t xml:space="preserve">
      Clause 1. The order for publishing information on making changes relating to the registration of inventions, utility models, industrial designs in State Registers </w:t>
      </w:r>
    </w:p>
    <w:p>
      <w:pPr>
        <w:spacing w:after="0"/>
        <w:ind w:left="0"/>
        <w:jc w:val="both"/>
      </w:pPr>
      <w:r>
        <w:rPr>
          <w:rFonts w:ascii="Times New Roman"/>
          <w:b w:val="false"/>
          <w:i w:val="false"/>
          <w:color w:val="000000"/>
          <w:sz w:val="28"/>
        </w:rPr>
        <w:t xml:space="preserve">
      4. On the basis of changes made to State Registers, the expert organization shall publish in the “Хабарлама - Notices” section such information as that: </w:t>
      </w:r>
    </w:p>
    <w:p>
      <w:pPr>
        <w:spacing w:after="0"/>
        <w:ind w:left="0"/>
        <w:jc w:val="both"/>
      </w:pPr>
      <w:r>
        <w:rPr>
          <w:rFonts w:ascii="Times New Roman"/>
          <w:b w:val="false"/>
          <w:i w:val="false"/>
          <w:color w:val="000000"/>
          <w:sz w:val="28"/>
        </w:rPr>
        <w:t xml:space="preserve">
      1) on the correction of obvious and technical errors in the entries of a State Register; </w:t>
      </w:r>
    </w:p>
    <w:p>
      <w:pPr>
        <w:spacing w:after="0"/>
        <w:ind w:left="0"/>
        <w:jc w:val="both"/>
      </w:pPr>
      <w:r>
        <w:rPr>
          <w:rFonts w:ascii="Times New Roman"/>
          <w:b w:val="false"/>
          <w:i w:val="false"/>
          <w:color w:val="000000"/>
          <w:sz w:val="28"/>
        </w:rPr>
        <w:t>
      2) on the registered transfer and (or) granting of the right:</w:t>
      </w:r>
    </w:p>
    <w:p>
      <w:pPr>
        <w:spacing w:after="0"/>
        <w:ind w:left="0"/>
        <w:jc w:val="both"/>
      </w:pPr>
      <w:r>
        <w:rPr>
          <w:rFonts w:ascii="Times New Roman"/>
          <w:b w:val="false"/>
          <w:i w:val="false"/>
          <w:color w:val="000000"/>
          <w:sz w:val="28"/>
        </w:rPr>
        <w:t>
      the type of the agreement;</w:t>
      </w:r>
    </w:p>
    <w:p>
      <w:pPr>
        <w:spacing w:after="0"/>
        <w:ind w:left="0"/>
        <w:jc w:val="both"/>
      </w:pPr>
      <w:r>
        <w:rPr>
          <w:rFonts w:ascii="Times New Roman"/>
          <w:b w:val="false"/>
          <w:i w:val="false"/>
          <w:color w:val="000000"/>
          <w:sz w:val="28"/>
        </w:rPr>
        <w:t>
      the number of the agreement;</w:t>
      </w:r>
    </w:p>
    <w:p>
      <w:pPr>
        <w:spacing w:after="0"/>
        <w:ind w:left="0"/>
        <w:jc w:val="both"/>
      </w:pPr>
      <w:r>
        <w:rPr>
          <w:rFonts w:ascii="Times New Roman"/>
          <w:b w:val="false"/>
          <w:i w:val="false"/>
          <w:color w:val="000000"/>
          <w:sz w:val="28"/>
        </w:rPr>
        <w:t>
      the date of the agreement;</w:t>
      </w:r>
    </w:p>
    <w:p>
      <w:pPr>
        <w:spacing w:after="0"/>
        <w:ind w:left="0"/>
        <w:jc w:val="both"/>
      </w:pPr>
      <w:r>
        <w:rPr>
          <w:rFonts w:ascii="Times New Roman"/>
          <w:b w:val="false"/>
          <w:i w:val="false"/>
          <w:color w:val="000000"/>
          <w:sz w:val="28"/>
        </w:rPr>
        <w:t>
      the name;</w:t>
      </w:r>
    </w:p>
    <w:p>
      <w:pPr>
        <w:spacing w:after="0"/>
        <w:ind w:left="0"/>
        <w:jc w:val="both"/>
      </w:pPr>
      <w:r>
        <w:rPr>
          <w:rFonts w:ascii="Times New Roman"/>
          <w:b w:val="false"/>
          <w:i w:val="false"/>
          <w:color w:val="000000"/>
          <w:sz w:val="28"/>
        </w:rPr>
        <w:t xml:space="preserve">
      the patent number; </w:t>
      </w:r>
    </w:p>
    <w:p>
      <w:pPr>
        <w:spacing w:after="0"/>
        <w:ind w:left="0"/>
        <w:jc w:val="both"/>
      </w:pPr>
      <w:r>
        <w:rPr>
          <w:rFonts w:ascii="Times New Roman"/>
          <w:b w:val="false"/>
          <w:i w:val="false"/>
          <w:color w:val="000000"/>
          <w:sz w:val="28"/>
        </w:rPr>
        <w:t>
      the registration number;</w:t>
      </w:r>
    </w:p>
    <w:p>
      <w:pPr>
        <w:spacing w:after="0"/>
        <w:ind w:left="0"/>
        <w:jc w:val="both"/>
      </w:pPr>
      <w:r>
        <w:rPr>
          <w:rFonts w:ascii="Times New Roman"/>
          <w:b w:val="false"/>
          <w:i w:val="false"/>
          <w:color w:val="000000"/>
          <w:sz w:val="28"/>
        </w:rPr>
        <w:t>
      the owner;</w:t>
      </w:r>
    </w:p>
    <w:p>
      <w:pPr>
        <w:spacing w:after="0"/>
        <w:ind w:left="0"/>
        <w:jc w:val="both"/>
      </w:pPr>
      <w:r>
        <w:rPr>
          <w:rFonts w:ascii="Times New Roman"/>
          <w:b w:val="false"/>
          <w:i w:val="false"/>
          <w:color w:val="000000"/>
          <w:sz w:val="28"/>
        </w:rPr>
        <w:t>
      the owner’s address;</w:t>
      </w:r>
    </w:p>
    <w:p>
      <w:pPr>
        <w:spacing w:after="0"/>
        <w:ind w:left="0"/>
        <w:jc w:val="both"/>
      </w:pPr>
      <w:r>
        <w:rPr>
          <w:rFonts w:ascii="Times New Roman"/>
          <w:b w:val="false"/>
          <w:i w:val="false"/>
          <w:color w:val="000000"/>
          <w:sz w:val="28"/>
        </w:rPr>
        <w:t>
      the assignee;</w:t>
      </w:r>
    </w:p>
    <w:p>
      <w:pPr>
        <w:spacing w:after="0"/>
        <w:ind w:left="0"/>
        <w:jc w:val="both"/>
      </w:pPr>
      <w:r>
        <w:rPr>
          <w:rFonts w:ascii="Times New Roman"/>
          <w:b w:val="false"/>
          <w:i w:val="false"/>
          <w:color w:val="000000"/>
          <w:sz w:val="28"/>
        </w:rPr>
        <w:t>
      the assignee’s address;</w:t>
      </w:r>
    </w:p>
    <w:p>
      <w:pPr>
        <w:spacing w:after="0"/>
        <w:ind w:left="0"/>
        <w:jc w:val="both"/>
      </w:pPr>
      <w:r>
        <w:rPr>
          <w:rFonts w:ascii="Times New Roman"/>
          <w:b w:val="false"/>
          <w:i w:val="false"/>
          <w:color w:val="000000"/>
          <w:sz w:val="28"/>
        </w:rPr>
        <w:t xml:space="preserve">
      3) on the registered changes relating to essential conditions of the registered granting of the right: </w:t>
      </w:r>
    </w:p>
    <w:p>
      <w:pPr>
        <w:spacing w:after="0"/>
        <w:ind w:left="0"/>
        <w:jc w:val="both"/>
      </w:pPr>
      <w:r>
        <w:rPr>
          <w:rFonts w:ascii="Times New Roman"/>
          <w:b w:val="false"/>
          <w:i w:val="false"/>
          <w:color w:val="000000"/>
          <w:sz w:val="28"/>
        </w:rPr>
        <w:t>
      the type of the agreement;</w:t>
      </w:r>
    </w:p>
    <w:p>
      <w:pPr>
        <w:spacing w:after="0"/>
        <w:ind w:left="0"/>
        <w:jc w:val="both"/>
      </w:pPr>
      <w:r>
        <w:rPr>
          <w:rFonts w:ascii="Times New Roman"/>
          <w:b w:val="false"/>
          <w:i w:val="false"/>
          <w:color w:val="000000"/>
          <w:sz w:val="28"/>
        </w:rPr>
        <w:t>
      the number of the agreement;</w:t>
      </w:r>
    </w:p>
    <w:p>
      <w:pPr>
        <w:spacing w:after="0"/>
        <w:ind w:left="0"/>
        <w:jc w:val="both"/>
      </w:pPr>
      <w:r>
        <w:rPr>
          <w:rFonts w:ascii="Times New Roman"/>
          <w:b w:val="false"/>
          <w:i w:val="false"/>
          <w:color w:val="000000"/>
          <w:sz w:val="28"/>
        </w:rPr>
        <w:t>
      the date of the agreement;</w:t>
      </w:r>
    </w:p>
    <w:p>
      <w:pPr>
        <w:spacing w:after="0"/>
        <w:ind w:left="0"/>
        <w:jc w:val="both"/>
      </w:pPr>
      <w:r>
        <w:rPr>
          <w:rFonts w:ascii="Times New Roman"/>
          <w:b w:val="false"/>
          <w:i w:val="false"/>
          <w:color w:val="000000"/>
          <w:sz w:val="28"/>
        </w:rPr>
        <w:t>
      the name;</w:t>
      </w:r>
    </w:p>
    <w:p>
      <w:pPr>
        <w:spacing w:after="0"/>
        <w:ind w:left="0"/>
        <w:jc w:val="both"/>
      </w:pPr>
      <w:r>
        <w:rPr>
          <w:rFonts w:ascii="Times New Roman"/>
          <w:b w:val="false"/>
          <w:i w:val="false"/>
          <w:color w:val="000000"/>
          <w:sz w:val="28"/>
        </w:rPr>
        <w:t xml:space="preserve">
      the patent number; </w:t>
      </w:r>
    </w:p>
    <w:p>
      <w:pPr>
        <w:spacing w:after="0"/>
        <w:ind w:left="0"/>
        <w:jc w:val="both"/>
      </w:pPr>
      <w:r>
        <w:rPr>
          <w:rFonts w:ascii="Times New Roman"/>
          <w:b w:val="false"/>
          <w:i w:val="false"/>
          <w:color w:val="000000"/>
          <w:sz w:val="28"/>
        </w:rPr>
        <w:t>
      the registration number;</w:t>
      </w:r>
    </w:p>
    <w:p>
      <w:pPr>
        <w:spacing w:after="0"/>
        <w:ind w:left="0"/>
        <w:jc w:val="both"/>
      </w:pPr>
      <w:r>
        <w:rPr>
          <w:rFonts w:ascii="Times New Roman"/>
          <w:b w:val="false"/>
          <w:i w:val="false"/>
          <w:color w:val="000000"/>
          <w:sz w:val="28"/>
        </w:rPr>
        <w:t>
      the licensor (sublicensor);</w:t>
      </w:r>
    </w:p>
    <w:p>
      <w:pPr>
        <w:spacing w:after="0"/>
        <w:ind w:left="0"/>
        <w:jc w:val="both"/>
      </w:pPr>
      <w:r>
        <w:rPr>
          <w:rFonts w:ascii="Times New Roman"/>
          <w:b w:val="false"/>
          <w:i w:val="false"/>
          <w:color w:val="000000"/>
          <w:sz w:val="28"/>
        </w:rPr>
        <w:t>
      the licensor’s (sublicensor’s) address;</w:t>
      </w:r>
    </w:p>
    <w:p>
      <w:pPr>
        <w:spacing w:after="0"/>
        <w:ind w:left="0"/>
        <w:jc w:val="both"/>
      </w:pPr>
      <w:r>
        <w:rPr>
          <w:rFonts w:ascii="Times New Roman"/>
          <w:b w:val="false"/>
          <w:i w:val="false"/>
          <w:color w:val="000000"/>
          <w:sz w:val="28"/>
        </w:rPr>
        <w:t>
      the licensee (sublicensee);</w:t>
      </w:r>
    </w:p>
    <w:p>
      <w:pPr>
        <w:spacing w:after="0"/>
        <w:ind w:left="0"/>
        <w:jc w:val="both"/>
      </w:pPr>
      <w:r>
        <w:rPr>
          <w:rFonts w:ascii="Times New Roman"/>
          <w:b w:val="false"/>
          <w:i w:val="false"/>
          <w:color w:val="000000"/>
          <w:sz w:val="28"/>
        </w:rPr>
        <w:t>
      the licensee’s (sublicensee’s) address.</w:t>
      </w:r>
    </w:p>
    <w:p>
      <w:pPr>
        <w:spacing w:after="0"/>
        <w:ind w:left="0"/>
        <w:jc w:val="both"/>
      </w:pPr>
      <w:r>
        <w:rPr>
          <w:rFonts w:ascii="Times New Roman"/>
          <w:b w:val="false"/>
          <w:i w:val="false"/>
          <w:color w:val="000000"/>
          <w:sz w:val="28"/>
        </w:rPr>
        <w:t xml:space="preserve">
      4) on termination (early termination) of the registered granting of the right: </w:t>
      </w:r>
    </w:p>
    <w:p>
      <w:pPr>
        <w:spacing w:after="0"/>
        <w:ind w:left="0"/>
        <w:jc w:val="both"/>
      </w:pPr>
      <w:r>
        <w:rPr>
          <w:rFonts w:ascii="Times New Roman"/>
          <w:b w:val="false"/>
          <w:i w:val="false"/>
          <w:color w:val="000000"/>
          <w:sz w:val="28"/>
        </w:rPr>
        <w:t>
      the type of the agreement;</w:t>
      </w:r>
    </w:p>
    <w:p>
      <w:pPr>
        <w:spacing w:after="0"/>
        <w:ind w:left="0"/>
        <w:jc w:val="both"/>
      </w:pPr>
      <w:r>
        <w:rPr>
          <w:rFonts w:ascii="Times New Roman"/>
          <w:b w:val="false"/>
          <w:i w:val="false"/>
          <w:color w:val="000000"/>
          <w:sz w:val="28"/>
        </w:rPr>
        <w:t>
      the number of the agreement;</w:t>
      </w:r>
    </w:p>
    <w:p>
      <w:pPr>
        <w:spacing w:after="0"/>
        <w:ind w:left="0"/>
        <w:jc w:val="both"/>
      </w:pPr>
      <w:r>
        <w:rPr>
          <w:rFonts w:ascii="Times New Roman"/>
          <w:b w:val="false"/>
          <w:i w:val="false"/>
          <w:color w:val="000000"/>
          <w:sz w:val="28"/>
        </w:rPr>
        <w:t>
      the date of the agreement;</w:t>
      </w:r>
    </w:p>
    <w:p>
      <w:pPr>
        <w:spacing w:after="0"/>
        <w:ind w:left="0"/>
        <w:jc w:val="both"/>
      </w:pPr>
      <w:r>
        <w:rPr>
          <w:rFonts w:ascii="Times New Roman"/>
          <w:b w:val="false"/>
          <w:i w:val="false"/>
          <w:color w:val="000000"/>
          <w:sz w:val="28"/>
        </w:rPr>
        <w:t>
      the date of early termination of the agreement;</w:t>
      </w:r>
    </w:p>
    <w:p>
      <w:pPr>
        <w:spacing w:after="0"/>
        <w:ind w:left="0"/>
        <w:jc w:val="both"/>
      </w:pPr>
      <w:r>
        <w:rPr>
          <w:rFonts w:ascii="Times New Roman"/>
          <w:b w:val="false"/>
          <w:i w:val="false"/>
          <w:color w:val="000000"/>
          <w:sz w:val="28"/>
        </w:rPr>
        <w:t>
      the name;</w:t>
      </w:r>
    </w:p>
    <w:p>
      <w:pPr>
        <w:spacing w:after="0"/>
        <w:ind w:left="0"/>
        <w:jc w:val="both"/>
      </w:pPr>
      <w:r>
        <w:rPr>
          <w:rFonts w:ascii="Times New Roman"/>
          <w:b w:val="false"/>
          <w:i w:val="false"/>
          <w:color w:val="000000"/>
          <w:sz w:val="28"/>
        </w:rPr>
        <w:t xml:space="preserve">
      the patent number; </w:t>
      </w:r>
    </w:p>
    <w:p>
      <w:pPr>
        <w:spacing w:after="0"/>
        <w:ind w:left="0"/>
        <w:jc w:val="both"/>
      </w:pPr>
      <w:r>
        <w:rPr>
          <w:rFonts w:ascii="Times New Roman"/>
          <w:b w:val="false"/>
          <w:i w:val="false"/>
          <w:color w:val="000000"/>
          <w:sz w:val="28"/>
        </w:rPr>
        <w:t xml:space="preserve">
      the registration number </w:t>
      </w:r>
    </w:p>
    <w:p>
      <w:pPr>
        <w:spacing w:after="0"/>
        <w:ind w:left="0"/>
        <w:jc w:val="both"/>
      </w:pPr>
      <w:r>
        <w:rPr>
          <w:rFonts w:ascii="Times New Roman"/>
          <w:b w:val="false"/>
          <w:i w:val="false"/>
          <w:color w:val="000000"/>
          <w:sz w:val="28"/>
        </w:rPr>
        <w:t>
      the licensor (sublicensor);</w:t>
      </w:r>
    </w:p>
    <w:p>
      <w:pPr>
        <w:spacing w:after="0"/>
        <w:ind w:left="0"/>
        <w:jc w:val="both"/>
      </w:pPr>
      <w:r>
        <w:rPr>
          <w:rFonts w:ascii="Times New Roman"/>
          <w:b w:val="false"/>
          <w:i w:val="false"/>
          <w:color w:val="000000"/>
          <w:sz w:val="28"/>
        </w:rPr>
        <w:t>
      the licensor’s (sublicensor’s) address;</w:t>
      </w:r>
    </w:p>
    <w:p>
      <w:pPr>
        <w:spacing w:after="0"/>
        <w:ind w:left="0"/>
        <w:jc w:val="both"/>
      </w:pPr>
      <w:r>
        <w:rPr>
          <w:rFonts w:ascii="Times New Roman"/>
          <w:b w:val="false"/>
          <w:i w:val="false"/>
          <w:color w:val="000000"/>
          <w:sz w:val="28"/>
        </w:rPr>
        <w:t>
      the licensee (sublicensee);</w:t>
      </w:r>
    </w:p>
    <w:p>
      <w:pPr>
        <w:spacing w:after="0"/>
        <w:ind w:left="0"/>
        <w:jc w:val="both"/>
      </w:pPr>
      <w:r>
        <w:rPr>
          <w:rFonts w:ascii="Times New Roman"/>
          <w:b w:val="false"/>
          <w:i w:val="false"/>
          <w:color w:val="000000"/>
          <w:sz w:val="28"/>
        </w:rPr>
        <w:t>
      the licensee’s (sublicensee’s) address.</w:t>
      </w:r>
    </w:p>
    <w:p>
      <w:pPr>
        <w:spacing w:after="0"/>
        <w:ind w:left="0"/>
        <w:jc w:val="both"/>
      </w:pPr>
      <w:r>
        <w:rPr>
          <w:rFonts w:ascii="Times New Roman"/>
          <w:b w:val="false"/>
          <w:i w:val="false"/>
          <w:color w:val="000000"/>
          <w:sz w:val="28"/>
        </w:rPr>
        <w:t xml:space="preserve">
      5) on cancellation of a patent in connection with its invalidation in whole or in part: </w:t>
      </w:r>
    </w:p>
    <w:p>
      <w:pPr>
        <w:spacing w:after="0"/>
        <w:ind w:left="0"/>
        <w:jc w:val="both"/>
      </w:pPr>
      <w:r>
        <w:rPr>
          <w:rFonts w:ascii="Times New Roman"/>
          <w:b w:val="false"/>
          <w:i w:val="false"/>
          <w:color w:val="000000"/>
          <w:sz w:val="28"/>
        </w:rPr>
        <w:t>
      the registration number;</w:t>
      </w:r>
    </w:p>
    <w:p>
      <w:pPr>
        <w:spacing w:after="0"/>
        <w:ind w:left="0"/>
        <w:jc w:val="both"/>
      </w:pPr>
      <w:r>
        <w:rPr>
          <w:rFonts w:ascii="Times New Roman"/>
          <w:b w:val="false"/>
          <w:i w:val="false"/>
          <w:color w:val="000000"/>
          <w:sz w:val="28"/>
        </w:rPr>
        <w:t>
      the application’s number;</w:t>
      </w:r>
    </w:p>
    <w:p>
      <w:pPr>
        <w:spacing w:after="0"/>
        <w:ind w:left="0"/>
        <w:jc w:val="both"/>
      </w:pPr>
      <w:r>
        <w:rPr>
          <w:rFonts w:ascii="Times New Roman"/>
          <w:b w:val="false"/>
          <w:i w:val="false"/>
          <w:color w:val="000000"/>
          <w:sz w:val="28"/>
        </w:rPr>
        <w:t>
      the filing date;</w:t>
      </w:r>
    </w:p>
    <w:p>
      <w:pPr>
        <w:spacing w:after="0"/>
        <w:ind w:left="0"/>
        <w:jc w:val="both"/>
      </w:pPr>
      <w:r>
        <w:rPr>
          <w:rFonts w:ascii="Times New Roman"/>
          <w:b w:val="false"/>
          <w:i w:val="false"/>
          <w:color w:val="000000"/>
          <w:sz w:val="28"/>
        </w:rPr>
        <w:t>
      the patent name;</w:t>
      </w:r>
    </w:p>
    <w:p>
      <w:pPr>
        <w:spacing w:after="0"/>
        <w:ind w:left="0"/>
        <w:jc w:val="both"/>
      </w:pPr>
      <w:r>
        <w:rPr>
          <w:rFonts w:ascii="Times New Roman"/>
          <w:b w:val="false"/>
          <w:i w:val="false"/>
          <w:color w:val="000000"/>
          <w:sz w:val="28"/>
        </w:rPr>
        <w:t>
      the owner’s name;</w:t>
      </w:r>
    </w:p>
    <w:p>
      <w:pPr>
        <w:spacing w:after="0"/>
        <w:ind w:left="0"/>
        <w:jc w:val="both"/>
      </w:pPr>
      <w:r>
        <w:rPr>
          <w:rFonts w:ascii="Times New Roman"/>
          <w:b w:val="false"/>
          <w:i w:val="false"/>
          <w:color w:val="000000"/>
          <w:sz w:val="28"/>
        </w:rPr>
        <w:t>
      the date of termination;</w:t>
      </w:r>
    </w:p>
    <w:p>
      <w:pPr>
        <w:spacing w:after="0"/>
        <w:ind w:left="0"/>
        <w:jc w:val="both"/>
      </w:pPr>
      <w:r>
        <w:rPr>
          <w:rFonts w:ascii="Times New Roman"/>
          <w:b w:val="false"/>
          <w:i w:val="false"/>
          <w:color w:val="000000"/>
          <w:sz w:val="28"/>
        </w:rPr>
        <w:t>
      the reason for termination.</w:t>
      </w:r>
    </w:p>
    <w:p>
      <w:pPr>
        <w:spacing w:after="0"/>
        <w:ind w:left="0"/>
        <w:jc w:val="both"/>
      </w:pPr>
      <w:r>
        <w:rPr>
          <w:rFonts w:ascii="Times New Roman"/>
          <w:b w:val="false"/>
          <w:i w:val="false"/>
          <w:color w:val="000000"/>
          <w:sz w:val="28"/>
        </w:rPr>
        <w:t xml:space="preserve">
      6) on termination of a patent at the request of the patent owner: </w:t>
      </w:r>
    </w:p>
    <w:p>
      <w:pPr>
        <w:spacing w:after="0"/>
        <w:ind w:left="0"/>
        <w:jc w:val="both"/>
      </w:pPr>
      <w:r>
        <w:rPr>
          <w:rFonts w:ascii="Times New Roman"/>
          <w:b w:val="false"/>
          <w:i w:val="false"/>
          <w:color w:val="000000"/>
          <w:sz w:val="28"/>
        </w:rPr>
        <w:t>
      the registration number;</w:t>
      </w:r>
    </w:p>
    <w:p>
      <w:pPr>
        <w:spacing w:after="0"/>
        <w:ind w:left="0"/>
        <w:jc w:val="both"/>
      </w:pPr>
      <w:r>
        <w:rPr>
          <w:rFonts w:ascii="Times New Roman"/>
          <w:b w:val="false"/>
          <w:i w:val="false"/>
          <w:color w:val="000000"/>
          <w:sz w:val="28"/>
        </w:rPr>
        <w:t>
      the application’s number;</w:t>
      </w:r>
    </w:p>
    <w:p>
      <w:pPr>
        <w:spacing w:after="0"/>
        <w:ind w:left="0"/>
        <w:jc w:val="both"/>
      </w:pPr>
      <w:r>
        <w:rPr>
          <w:rFonts w:ascii="Times New Roman"/>
          <w:b w:val="false"/>
          <w:i w:val="false"/>
          <w:color w:val="000000"/>
          <w:sz w:val="28"/>
        </w:rPr>
        <w:t>
      the filing date;</w:t>
      </w:r>
    </w:p>
    <w:p>
      <w:pPr>
        <w:spacing w:after="0"/>
        <w:ind w:left="0"/>
        <w:jc w:val="both"/>
      </w:pPr>
      <w:r>
        <w:rPr>
          <w:rFonts w:ascii="Times New Roman"/>
          <w:b w:val="false"/>
          <w:i w:val="false"/>
          <w:color w:val="000000"/>
          <w:sz w:val="28"/>
        </w:rPr>
        <w:t>
      the patent name;</w:t>
      </w:r>
    </w:p>
    <w:p>
      <w:pPr>
        <w:spacing w:after="0"/>
        <w:ind w:left="0"/>
        <w:jc w:val="both"/>
      </w:pPr>
      <w:r>
        <w:rPr>
          <w:rFonts w:ascii="Times New Roman"/>
          <w:b w:val="false"/>
          <w:i w:val="false"/>
          <w:color w:val="000000"/>
          <w:sz w:val="28"/>
        </w:rPr>
        <w:t>
      the owner’s name;</w:t>
      </w:r>
    </w:p>
    <w:p>
      <w:pPr>
        <w:spacing w:after="0"/>
        <w:ind w:left="0"/>
        <w:jc w:val="both"/>
      </w:pPr>
      <w:r>
        <w:rPr>
          <w:rFonts w:ascii="Times New Roman"/>
          <w:b w:val="false"/>
          <w:i w:val="false"/>
          <w:color w:val="000000"/>
          <w:sz w:val="28"/>
        </w:rPr>
        <w:t>
      the date of termination;</w:t>
      </w:r>
    </w:p>
    <w:p>
      <w:pPr>
        <w:spacing w:after="0"/>
        <w:ind w:left="0"/>
        <w:jc w:val="both"/>
      </w:pPr>
      <w:r>
        <w:rPr>
          <w:rFonts w:ascii="Times New Roman"/>
          <w:b w:val="false"/>
          <w:i w:val="false"/>
          <w:color w:val="000000"/>
          <w:sz w:val="28"/>
        </w:rPr>
        <w:t>
      the reason for termination.</w:t>
      </w:r>
    </w:p>
    <w:p>
      <w:pPr>
        <w:spacing w:after="0"/>
        <w:ind w:left="0"/>
        <w:jc w:val="both"/>
      </w:pPr>
      <w:r>
        <w:rPr>
          <w:rFonts w:ascii="Times New Roman"/>
          <w:b w:val="false"/>
          <w:i w:val="false"/>
          <w:color w:val="000000"/>
          <w:sz w:val="28"/>
        </w:rPr>
        <w:t xml:space="preserve">
      7) on changes in the name of the patent owner and its location addresses: </w:t>
      </w:r>
    </w:p>
    <w:p>
      <w:pPr>
        <w:spacing w:after="0"/>
        <w:ind w:left="0"/>
        <w:jc w:val="both"/>
      </w:pPr>
      <w:r>
        <w:rPr>
          <w:rFonts w:ascii="Times New Roman"/>
          <w:b w:val="false"/>
          <w:i w:val="false"/>
          <w:color w:val="000000"/>
          <w:sz w:val="28"/>
        </w:rPr>
        <w:t>
      the registration number;</w:t>
      </w:r>
    </w:p>
    <w:p>
      <w:pPr>
        <w:spacing w:after="0"/>
        <w:ind w:left="0"/>
        <w:jc w:val="both"/>
      </w:pPr>
      <w:r>
        <w:rPr>
          <w:rFonts w:ascii="Times New Roman"/>
          <w:b w:val="false"/>
          <w:i w:val="false"/>
          <w:color w:val="000000"/>
          <w:sz w:val="28"/>
        </w:rPr>
        <w:t>
      the patent owner’s name and location address.</w:t>
      </w:r>
    </w:p>
    <w:p>
      <w:pPr>
        <w:spacing w:after="0"/>
        <w:ind w:left="0"/>
        <w:jc w:val="both"/>
      </w:pPr>
      <w:r>
        <w:rPr>
          <w:rFonts w:ascii="Times New Roman"/>
          <w:b w:val="false"/>
          <w:i w:val="false"/>
          <w:color w:val="000000"/>
          <w:sz w:val="28"/>
        </w:rPr>
        <w:t xml:space="preserve">
      Information on making changes relating to the registration of inventions, utility models, industrial designs to State Registers shall be published by the expert organization after sending a notification of making relevant changes. </w:t>
      </w:r>
    </w:p>
    <w:p>
      <w:pPr>
        <w:spacing w:after="0"/>
        <w:ind w:left="0"/>
        <w:jc w:val="both"/>
      </w:pPr>
      <w:r>
        <w:rPr>
          <w:rFonts w:ascii="Times New Roman"/>
          <w:b w:val="false"/>
          <w:i w:val="false"/>
          <w:color w:val="000000"/>
          <w:sz w:val="28"/>
        </w:rPr>
        <w:t>
      Clause 2. The order for publishing information on extension, renewal of patents for an invention, utility models, industrial designs</w:t>
      </w:r>
    </w:p>
    <w:p>
      <w:pPr>
        <w:spacing w:after="0"/>
        <w:ind w:left="0"/>
        <w:jc w:val="both"/>
      </w:pPr>
      <w:r>
        <w:rPr>
          <w:rFonts w:ascii="Times New Roman"/>
          <w:b w:val="false"/>
          <w:i w:val="false"/>
          <w:color w:val="000000"/>
          <w:sz w:val="28"/>
        </w:rPr>
        <w:t xml:space="preserve">
      5. The expert organization shall weekly publish in Kazakh and Russian in the “Хабарлама - Notices” bulletin’s section information on the extension, termination and renewal of a patent for an invention, utility model, industrial design, indicating such data as: </w:t>
      </w:r>
    </w:p>
    <w:p>
      <w:pPr>
        <w:spacing w:after="0"/>
        <w:ind w:left="0"/>
        <w:jc w:val="both"/>
      </w:pPr>
      <w:r>
        <w:rPr>
          <w:rFonts w:ascii="Times New Roman"/>
          <w:b w:val="false"/>
          <w:i w:val="false"/>
          <w:color w:val="000000"/>
          <w:sz w:val="28"/>
        </w:rPr>
        <w:t>
      1) the number of the document of title;</w:t>
      </w:r>
    </w:p>
    <w:p>
      <w:pPr>
        <w:spacing w:after="0"/>
        <w:ind w:left="0"/>
        <w:jc w:val="both"/>
      </w:pPr>
      <w:r>
        <w:rPr>
          <w:rFonts w:ascii="Times New Roman"/>
          <w:b w:val="false"/>
          <w:i w:val="false"/>
          <w:color w:val="000000"/>
          <w:sz w:val="28"/>
        </w:rPr>
        <w:t xml:space="preserve">
      2) the application’s number; </w:t>
      </w:r>
    </w:p>
    <w:p>
      <w:pPr>
        <w:spacing w:after="0"/>
        <w:ind w:left="0"/>
        <w:jc w:val="both"/>
      </w:pPr>
      <w:r>
        <w:rPr>
          <w:rFonts w:ascii="Times New Roman"/>
          <w:b w:val="false"/>
          <w:i w:val="false"/>
          <w:color w:val="000000"/>
          <w:sz w:val="28"/>
        </w:rPr>
        <w:t xml:space="preserve">
      3) the date until which the patent has been extended/the date of the patent’s renewal. </w:t>
      </w:r>
    </w:p>
    <w:p>
      <w:pPr>
        <w:spacing w:after="0"/>
        <w:ind w:left="0"/>
        <w:jc w:val="both"/>
      </w:pPr>
      <w:r>
        <w:rPr>
          <w:rFonts w:ascii="Times New Roman"/>
          <w:b w:val="false"/>
          <w:i w:val="false"/>
          <w:color w:val="000000"/>
          <w:sz w:val="28"/>
        </w:rPr>
        <w:t>
      Information on the extension, renewal of patents for an invention, utility models, industrial designs shall be published by the expert organization after sending a relevant notification.</w:t>
      </w:r>
    </w:p>
    <w:p>
      <w:pPr>
        <w:spacing w:after="0"/>
        <w:ind w:left="0"/>
        <w:jc w:val="both"/>
      </w:pPr>
      <w:r>
        <w:rPr>
          <w:rFonts w:ascii="Times New Roman"/>
          <w:b w:val="false"/>
          <w:i w:val="false"/>
          <w:color w:val="000000"/>
          <w:sz w:val="28"/>
        </w:rPr>
        <w:t>
      Clause 3. The order for publishing information on early termination, invalidation and cancellation of a patent for an invention, utility model, industrial design</w:t>
      </w:r>
    </w:p>
    <w:p>
      <w:pPr>
        <w:spacing w:after="0"/>
        <w:ind w:left="0"/>
        <w:jc w:val="both"/>
      </w:pPr>
      <w:r>
        <w:rPr>
          <w:rFonts w:ascii="Times New Roman"/>
          <w:b w:val="false"/>
          <w:i w:val="false"/>
          <w:color w:val="000000"/>
          <w:sz w:val="28"/>
        </w:rPr>
        <w:t xml:space="preserve">
      6. The expert organization shall weekly publish in Kazakh and Russian in the “Хабарлама - Notices” section information on the cancellation of a patent for an invention, utility model, industrial design, indicating such data as: </w:t>
      </w:r>
    </w:p>
    <w:p>
      <w:pPr>
        <w:spacing w:after="0"/>
        <w:ind w:left="0"/>
        <w:jc w:val="both"/>
      </w:pPr>
      <w:r>
        <w:rPr>
          <w:rFonts w:ascii="Times New Roman"/>
          <w:b w:val="false"/>
          <w:i w:val="false"/>
          <w:color w:val="000000"/>
          <w:sz w:val="28"/>
        </w:rPr>
        <w:t xml:space="preserve">
      1) the number of the document of title; </w:t>
      </w:r>
    </w:p>
    <w:p>
      <w:pPr>
        <w:spacing w:after="0"/>
        <w:ind w:left="0"/>
        <w:jc w:val="both"/>
      </w:pPr>
      <w:r>
        <w:rPr>
          <w:rFonts w:ascii="Times New Roman"/>
          <w:b w:val="false"/>
          <w:i w:val="false"/>
          <w:color w:val="000000"/>
          <w:sz w:val="28"/>
        </w:rPr>
        <w:t>
      2) the date of cancellation;</w:t>
      </w:r>
    </w:p>
    <w:p>
      <w:pPr>
        <w:spacing w:after="0"/>
        <w:ind w:left="0"/>
        <w:jc w:val="both"/>
      </w:pPr>
      <w:r>
        <w:rPr>
          <w:rFonts w:ascii="Times New Roman"/>
          <w:b w:val="false"/>
          <w:i w:val="false"/>
          <w:color w:val="000000"/>
          <w:sz w:val="28"/>
        </w:rPr>
        <w:t>
      3) the reason for early termination, invalidation and cancellation.</w:t>
      </w:r>
    </w:p>
    <w:p>
      <w:pPr>
        <w:spacing w:after="0"/>
        <w:ind w:left="0"/>
        <w:jc w:val="both"/>
      </w:pPr>
      <w:r>
        <w:rPr>
          <w:rFonts w:ascii="Times New Roman"/>
          <w:b w:val="false"/>
          <w:i w:val="false"/>
          <w:color w:val="000000"/>
          <w:sz w:val="28"/>
        </w:rPr>
        <w:t xml:space="preserve">
      On early termination of a patent due to a failure to pay on time: </w:t>
      </w:r>
    </w:p>
    <w:p>
      <w:pPr>
        <w:spacing w:after="0"/>
        <w:ind w:left="0"/>
        <w:jc w:val="both"/>
      </w:pPr>
      <w:r>
        <w:rPr>
          <w:rFonts w:ascii="Times New Roman"/>
          <w:b w:val="false"/>
          <w:i w:val="false"/>
          <w:color w:val="000000"/>
          <w:sz w:val="28"/>
        </w:rPr>
        <w:t>
      the registration number;</w:t>
      </w:r>
    </w:p>
    <w:p>
      <w:pPr>
        <w:spacing w:after="0"/>
        <w:ind w:left="0"/>
        <w:jc w:val="both"/>
      </w:pPr>
      <w:r>
        <w:rPr>
          <w:rFonts w:ascii="Times New Roman"/>
          <w:b w:val="false"/>
          <w:i w:val="false"/>
          <w:color w:val="000000"/>
          <w:sz w:val="28"/>
        </w:rPr>
        <w:t>
      the application’s number;</w:t>
      </w:r>
    </w:p>
    <w:p>
      <w:pPr>
        <w:spacing w:after="0"/>
        <w:ind w:left="0"/>
        <w:jc w:val="both"/>
      </w:pPr>
      <w:r>
        <w:rPr>
          <w:rFonts w:ascii="Times New Roman"/>
          <w:b w:val="false"/>
          <w:i w:val="false"/>
          <w:color w:val="000000"/>
          <w:sz w:val="28"/>
        </w:rPr>
        <w:t xml:space="preserve">
      the date of early termination; </w:t>
      </w:r>
    </w:p>
    <w:p>
      <w:pPr>
        <w:spacing w:after="0"/>
        <w:ind w:left="0"/>
        <w:jc w:val="both"/>
      </w:pPr>
      <w:r>
        <w:rPr>
          <w:rFonts w:ascii="Times New Roman"/>
          <w:b w:val="false"/>
          <w:i w:val="false"/>
          <w:color w:val="000000"/>
          <w:sz w:val="28"/>
        </w:rPr>
        <w:t>
      the reason for termination.</w:t>
      </w:r>
    </w:p>
    <w:p>
      <w:pPr>
        <w:spacing w:after="0"/>
        <w:ind w:left="0"/>
        <w:jc w:val="both"/>
      </w:pPr>
      <w:r>
        <w:rPr>
          <w:rFonts w:ascii="Times New Roman"/>
          <w:b w:val="false"/>
          <w:i w:val="false"/>
          <w:color w:val="000000"/>
          <w:sz w:val="28"/>
        </w:rPr>
        <w:t>
      Information on the cancellation of a patent for an invention, utility models, industrial designs shall be published by the expert organization after sending a relevant notification.</w:t>
      </w:r>
    </w:p>
    <w:p>
      <w:pPr>
        <w:spacing w:after="0"/>
        <w:ind w:left="0"/>
        <w:jc w:val="both"/>
      </w:pPr>
      <w:r>
        <w:rPr>
          <w:rFonts w:ascii="Times New Roman"/>
          <w:b w:val="false"/>
          <w:i w:val="false"/>
          <w:color w:val="000000"/>
          <w:sz w:val="28"/>
        </w:rPr>
        <w:t>
      Chapter 3. The order for publishing in the bulletin of information relating to the registration of a trademark in State Registers</w:t>
      </w:r>
    </w:p>
    <w:p>
      <w:pPr>
        <w:spacing w:after="0"/>
        <w:ind w:left="0"/>
        <w:jc w:val="both"/>
      </w:pPr>
      <w:r>
        <w:rPr>
          <w:rFonts w:ascii="Times New Roman"/>
          <w:b w:val="false"/>
          <w:i w:val="false"/>
          <w:color w:val="000000"/>
          <w:sz w:val="28"/>
        </w:rPr>
        <w:t>
      7. Pursuant to entering data on the registration in State Registers, the expert organization shall weekly publish in Kazakh and Russian in the official bulletin’s section “Тауар таңбалары - Trademarks” such information as:</w:t>
      </w:r>
    </w:p>
    <w:p>
      <w:pPr>
        <w:spacing w:after="0"/>
        <w:ind w:left="0"/>
        <w:jc w:val="both"/>
      </w:pPr>
      <w:r>
        <w:rPr>
          <w:rFonts w:ascii="Times New Roman"/>
          <w:b w:val="false"/>
          <w:i w:val="false"/>
          <w:color w:val="000000"/>
          <w:sz w:val="28"/>
        </w:rPr>
        <w:t>
      1) the ordinal registration number;</w:t>
      </w:r>
    </w:p>
    <w:p>
      <w:pPr>
        <w:spacing w:after="0"/>
        <w:ind w:left="0"/>
        <w:jc w:val="both"/>
      </w:pPr>
      <w:r>
        <w:rPr>
          <w:rFonts w:ascii="Times New Roman"/>
          <w:b w:val="false"/>
          <w:i w:val="false"/>
          <w:color w:val="000000"/>
          <w:sz w:val="28"/>
        </w:rPr>
        <w:t>
      2) the date of registration;</w:t>
      </w:r>
    </w:p>
    <w:p>
      <w:pPr>
        <w:spacing w:after="0"/>
        <w:ind w:left="0"/>
        <w:jc w:val="both"/>
      </w:pPr>
      <w:r>
        <w:rPr>
          <w:rFonts w:ascii="Times New Roman"/>
          <w:b w:val="false"/>
          <w:i w:val="false"/>
          <w:color w:val="000000"/>
          <w:sz w:val="28"/>
        </w:rPr>
        <w:t>
      3) the registration’s period of validity;</w:t>
      </w:r>
    </w:p>
    <w:p>
      <w:pPr>
        <w:spacing w:after="0"/>
        <w:ind w:left="0"/>
        <w:jc w:val="both"/>
      </w:pPr>
      <w:r>
        <w:rPr>
          <w:rFonts w:ascii="Times New Roman"/>
          <w:b w:val="false"/>
          <w:i w:val="false"/>
          <w:color w:val="000000"/>
          <w:sz w:val="28"/>
        </w:rPr>
        <w:t>
      4) the application’s number;</w:t>
      </w:r>
    </w:p>
    <w:p>
      <w:pPr>
        <w:spacing w:after="0"/>
        <w:ind w:left="0"/>
        <w:jc w:val="both"/>
      </w:pPr>
      <w:r>
        <w:rPr>
          <w:rFonts w:ascii="Times New Roman"/>
          <w:b w:val="false"/>
          <w:i w:val="false"/>
          <w:color w:val="000000"/>
          <w:sz w:val="28"/>
        </w:rPr>
        <w:t>
      5) the filing date of the application;</w:t>
      </w:r>
    </w:p>
    <w:p>
      <w:pPr>
        <w:spacing w:after="0"/>
        <w:ind w:left="0"/>
        <w:jc w:val="both"/>
      </w:pPr>
      <w:r>
        <w:rPr>
          <w:rFonts w:ascii="Times New Roman"/>
          <w:b w:val="false"/>
          <w:i w:val="false"/>
          <w:color w:val="000000"/>
          <w:sz w:val="28"/>
        </w:rPr>
        <w:t>
      6) the name of the owner of the trademark/service marks;</w:t>
      </w:r>
    </w:p>
    <w:p>
      <w:pPr>
        <w:spacing w:after="0"/>
        <w:ind w:left="0"/>
        <w:jc w:val="both"/>
      </w:pPr>
      <w:r>
        <w:rPr>
          <w:rFonts w:ascii="Times New Roman"/>
          <w:b w:val="false"/>
          <w:i w:val="false"/>
          <w:color w:val="000000"/>
          <w:sz w:val="28"/>
        </w:rPr>
        <w:t>
      7) the trademark’s image;</w:t>
      </w:r>
    </w:p>
    <w:p>
      <w:pPr>
        <w:spacing w:after="0"/>
        <w:ind w:left="0"/>
        <w:jc w:val="both"/>
      </w:pPr>
      <w:r>
        <w:rPr>
          <w:rFonts w:ascii="Times New Roman"/>
          <w:b w:val="false"/>
          <w:i w:val="false"/>
          <w:color w:val="000000"/>
          <w:sz w:val="28"/>
        </w:rPr>
        <w:t>
      8) indication of colors;</w:t>
      </w:r>
    </w:p>
    <w:p>
      <w:pPr>
        <w:spacing w:after="0"/>
        <w:ind w:left="0"/>
        <w:jc w:val="both"/>
      </w:pPr>
      <w:r>
        <w:rPr>
          <w:rFonts w:ascii="Times New Roman"/>
          <w:b w:val="false"/>
          <w:i w:val="false"/>
          <w:color w:val="000000"/>
          <w:sz w:val="28"/>
        </w:rPr>
        <w:t>
      9) the list of goods and services in respect of which the trademark is registered;</w:t>
      </w:r>
    </w:p>
    <w:p>
      <w:pPr>
        <w:spacing w:after="0"/>
        <w:ind w:left="0"/>
        <w:jc w:val="both"/>
      </w:pPr>
      <w:r>
        <w:rPr>
          <w:rFonts w:ascii="Times New Roman"/>
          <w:b w:val="false"/>
          <w:i w:val="false"/>
          <w:color w:val="000000"/>
          <w:sz w:val="28"/>
        </w:rPr>
        <w:t xml:space="preserve">
      10) the first application’s country, number and filing date, if the convention priority was established; </w:t>
      </w:r>
    </w:p>
    <w:p>
      <w:pPr>
        <w:spacing w:after="0"/>
        <w:ind w:left="0"/>
        <w:jc w:val="both"/>
      </w:pPr>
      <w:r>
        <w:rPr>
          <w:rFonts w:ascii="Times New Roman"/>
          <w:b w:val="false"/>
          <w:i w:val="false"/>
          <w:color w:val="000000"/>
          <w:sz w:val="28"/>
        </w:rPr>
        <w:t>
      11) unregistrable elements.</w:t>
      </w:r>
    </w:p>
    <w:p>
      <w:pPr>
        <w:spacing w:after="0"/>
        <w:ind w:left="0"/>
        <w:jc w:val="both"/>
      </w:pPr>
      <w:r>
        <w:rPr>
          <w:rFonts w:ascii="Times New Roman"/>
          <w:b w:val="false"/>
          <w:i w:val="false"/>
          <w:color w:val="000000"/>
          <w:sz w:val="28"/>
        </w:rPr>
        <w:t xml:space="preserve">
      Information on the registration of trademarks, service marks in the State Register of Trademarks shall be published by the expert organization after sending a certificate of a trademark/service marks. </w:t>
      </w:r>
    </w:p>
    <w:p>
      <w:pPr>
        <w:spacing w:after="0"/>
        <w:ind w:left="0"/>
        <w:jc w:val="both"/>
      </w:pPr>
      <w:r>
        <w:rPr>
          <w:rFonts w:ascii="Times New Roman"/>
          <w:b w:val="false"/>
          <w:i w:val="false"/>
          <w:color w:val="000000"/>
          <w:sz w:val="28"/>
        </w:rPr>
        <w:t>
      Clause 1. The order for publishing information on making changes to the State Register</w:t>
      </w:r>
    </w:p>
    <w:p>
      <w:pPr>
        <w:spacing w:after="0"/>
        <w:ind w:left="0"/>
        <w:jc w:val="both"/>
      </w:pPr>
      <w:r>
        <w:rPr>
          <w:rFonts w:ascii="Times New Roman"/>
          <w:b w:val="false"/>
          <w:i w:val="false"/>
          <w:color w:val="000000"/>
          <w:sz w:val="28"/>
        </w:rPr>
        <w:t xml:space="preserve">
      8. On the basis of changes made to State Registers, the expert organization shall publish in the “Хабарлама – Notices” section such information as: </w:t>
      </w:r>
    </w:p>
    <w:p>
      <w:pPr>
        <w:spacing w:after="0"/>
        <w:ind w:left="0"/>
        <w:jc w:val="both"/>
      </w:pPr>
      <w:r>
        <w:rPr>
          <w:rFonts w:ascii="Times New Roman"/>
          <w:b w:val="false"/>
          <w:i w:val="false"/>
          <w:color w:val="000000"/>
          <w:sz w:val="28"/>
        </w:rPr>
        <w:t>
      1) on the registered transfer of the right to a protected trademark:</w:t>
      </w:r>
    </w:p>
    <w:p>
      <w:pPr>
        <w:spacing w:after="0"/>
        <w:ind w:left="0"/>
        <w:jc w:val="both"/>
      </w:pPr>
      <w:r>
        <w:rPr>
          <w:rFonts w:ascii="Times New Roman"/>
          <w:b w:val="false"/>
          <w:i w:val="false"/>
          <w:color w:val="000000"/>
          <w:sz w:val="28"/>
        </w:rPr>
        <w:t>
      the type of the agreement;</w:t>
      </w:r>
    </w:p>
    <w:p>
      <w:pPr>
        <w:spacing w:after="0"/>
        <w:ind w:left="0"/>
        <w:jc w:val="both"/>
      </w:pPr>
      <w:r>
        <w:rPr>
          <w:rFonts w:ascii="Times New Roman"/>
          <w:b w:val="false"/>
          <w:i w:val="false"/>
          <w:color w:val="000000"/>
          <w:sz w:val="28"/>
        </w:rPr>
        <w:t>
      the number of the agreement;</w:t>
      </w:r>
    </w:p>
    <w:p>
      <w:pPr>
        <w:spacing w:after="0"/>
        <w:ind w:left="0"/>
        <w:jc w:val="both"/>
      </w:pPr>
      <w:r>
        <w:rPr>
          <w:rFonts w:ascii="Times New Roman"/>
          <w:b w:val="false"/>
          <w:i w:val="false"/>
          <w:color w:val="000000"/>
          <w:sz w:val="28"/>
        </w:rPr>
        <w:t>
      the date of the agreement’s registration;</w:t>
      </w:r>
    </w:p>
    <w:p>
      <w:pPr>
        <w:spacing w:after="0"/>
        <w:ind w:left="0"/>
        <w:jc w:val="both"/>
      </w:pPr>
      <w:r>
        <w:rPr>
          <w:rFonts w:ascii="Times New Roman"/>
          <w:b w:val="false"/>
          <w:i w:val="false"/>
          <w:color w:val="000000"/>
          <w:sz w:val="28"/>
        </w:rPr>
        <w:t>
      the name of the trademark, service mark;</w:t>
      </w:r>
    </w:p>
    <w:p>
      <w:pPr>
        <w:spacing w:after="0"/>
        <w:ind w:left="0"/>
        <w:jc w:val="both"/>
      </w:pPr>
      <w:r>
        <w:rPr>
          <w:rFonts w:ascii="Times New Roman"/>
          <w:b w:val="false"/>
          <w:i w:val="false"/>
          <w:color w:val="000000"/>
          <w:sz w:val="28"/>
        </w:rPr>
        <w:t xml:space="preserve">
      the registration number; </w:t>
      </w:r>
    </w:p>
    <w:p>
      <w:pPr>
        <w:spacing w:after="0"/>
        <w:ind w:left="0"/>
        <w:jc w:val="both"/>
      </w:pPr>
      <w:r>
        <w:rPr>
          <w:rFonts w:ascii="Times New Roman"/>
          <w:b w:val="false"/>
          <w:i w:val="false"/>
          <w:color w:val="000000"/>
          <w:sz w:val="28"/>
        </w:rPr>
        <w:t>
      the application's number;</w:t>
      </w:r>
    </w:p>
    <w:p>
      <w:pPr>
        <w:spacing w:after="0"/>
        <w:ind w:left="0"/>
        <w:jc w:val="both"/>
      </w:pPr>
      <w:r>
        <w:rPr>
          <w:rFonts w:ascii="Times New Roman"/>
          <w:b w:val="false"/>
          <w:i w:val="false"/>
          <w:color w:val="000000"/>
          <w:sz w:val="28"/>
        </w:rPr>
        <w:t>
      the owner;</w:t>
      </w:r>
    </w:p>
    <w:p>
      <w:pPr>
        <w:spacing w:after="0"/>
        <w:ind w:left="0"/>
        <w:jc w:val="both"/>
      </w:pPr>
      <w:r>
        <w:rPr>
          <w:rFonts w:ascii="Times New Roman"/>
          <w:b w:val="false"/>
          <w:i w:val="false"/>
          <w:color w:val="000000"/>
          <w:sz w:val="28"/>
        </w:rPr>
        <w:t>
      the owner’s address;</w:t>
      </w:r>
    </w:p>
    <w:p>
      <w:pPr>
        <w:spacing w:after="0"/>
        <w:ind w:left="0"/>
        <w:jc w:val="both"/>
      </w:pPr>
      <w:r>
        <w:rPr>
          <w:rFonts w:ascii="Times New Roman"/>
          <w:b w:val="false"/>
          <w:i w:val="false"/>
          <w:color w:val="000000"/>
          <w:sz w:val="28"/>
        </w:rPr>
        <w:t>
      the assignee;</w:t>
      </w:r>
    </w:p>
    <w:p>
      <w:pPr>
        <w:spacing w:after="0"/>
        <w:ind w:left="0"/>
        <w:jc w:val="both"/>
      </w:pPr>
      <w:r>
        <w:rPr>
          <w:rFonts w:ascii="Times New Roman"/>
          <w:b w:val="false"/>
          <w:i w:val="false"/>
          <w:color w:val="000000"/>
          <w:sz w:val="28"/>
        </w:rPr>
        <w:t>
      the assignee’s address;</w:t>
      </w:r>
    </w:p>
    <w:p>
      <w:pPr>
        <w:spacing w:after="0"/>
        <w:ind w:left="0"/>
        <w:jc w:val="both"/>
      </w:pPr>
      <w:r>
        <w:rPr>
          <w:rFonts w:ascii="Times New Roman"/>
          <w:b w:val="false"/>
          <w:i w:val="false"/>
          <w:color w:val="000000"/>
          <w:sz w:val="28"/>
        </w:rPr>
        <w:t>
      2) on the registered granting of the right to use a trademark:</w:t>
      </w:r>
    </w:p>
    <w:p>
      <w:pPr>
        <w:spacing w:after="0"/>
        <w:ind w:left="0"/>
        <w:jc w:val="both"/>
      </w:pPr>
      <w:r>
        <w:rPr>
          <w:rFonts w:ascii="Times New Roman"/>
          <w:b w:val="false"/>
          <w:i w:val="false"/>
          <w:color w:val="000000"/>
          <w:sz w:val="28"/>
        </w:rPr>
        <w:t>
      the type of the agreement;</w:t>
      </w:r>
    </w:p>
    <w:p>
      <w:pPr>
        <w:spacing w:after="0"/>
        <w:ind w:left="0"/>
        <w:jc w:val="both"/>
      </w:pPr>
      <w:r>
        <w:rPr>
          <w:rFonts w:ascii="Times New Roman"/>
          <w:b w:val="false"/>
          <w:i w:val="false"/>
          <w:color w:val="000000"/>
          <w:sz w:val="28"/>
        </w:rPr>
        <w:t>
      the number of the agreement;</w:t>
      </w:r>
    </w:p>
    <w:p>
      <w:pPr>
        <w:spacing w:after="0"/>
        <w:ind w:left="0"/>
        <w:jc w:val="both"/>
      </w:pPr>
      <w:r>
        <w:rPr>
          <w:rFonts w:ascii="Times New Roman"/>
          <w:b w:val="false"/>
          <w:i w:val="false"/>
          <w:color w:val="000000"/>
          <w:sz w:val="28"/>
        </w:rPr>
        <w:t>
      the date of the agreement’s registration;</w:t>
      </w:r>
    </w:p>
    <w:p>
      <w:pPr>
        <w:spacing w:after="0"/>
        <w:ind w:left="0"/>
        <w:jc w:val="both"/>
      </w:pPr>
      <w:r>
        <w:rPr>
          <w:rFonts w:ascii="Times New Roman"/>
          <w:b w:val="false"/>
          <w:i w:val="false"/>
          <w:color w:val="000000"/>
          <w:sz w:val="28"/>
        </w:rPr>
        <w:t>
      the name of the trademark, service mark;</w:t>
      </w:r>
    </w:p>
    <w:p>
      <w:pPr>
        <w:spacing w:after="0"/>
        <w:ind w:left="0"/>
        <w:jc w:val="both"/>
      </w:pPr>
      <w:r>
        <w:rPr>
          <w:rFonts w:ascii="Times New Roman"/>
          <w:b w:val="false"/>
          <w:i w:val="false"/>
          <w:color w:val="000000"/>
          <w:sz w:val="28"/>
        </w:rPr>
        <w:t xml:space="preserve">
      the registration number; </w:t>
      </w:r>
    </w:p>
    <w:p>
      <w:pPr>
        <w:spacing w:after="0"/>
        <w:ind w:left="0"/>
        <w:jc w:val="both"/>
      </w:pPr>
      <w:r>
        <w:rPr>
          <w:rFonts w:ascii="Times New Roman"/>
          <w:b w:val="false"/>
          <w:i w:val="false"/>
          <w:color w:val="000000"/>
          <w:sz w:val="28"/>
        </w:rPr>
        <w:t>
      the application's number;</w:t>
      </w:r>
    </w:p>
    <w:p>
      <w:pPr>
        <w:spacing w:after="0"/>
        <w:ind w:left="0"/>
        <w:jc w:val="both"/>
      </w:pPr>
      <w:r>
        <w:rPr>
          <w:rFonts w:ascii="Times New Roman"/>
          <w:b w:val="false"/>
          <w:i w:val="false"/>
          <w:color w:val="000000"/>
          <w:sz w:val="28"/>
        </w:rPr>
        <w:t>
      the licensor (sublicensor);</w:t>
      </w:r>
    </w:p>
    <w:p>
      <w:pPr>
        <w:spacing w:after="0"/>
        <w:ind w:left="0"/>
        <w:jc w:val="both"/>
      </w:pPr>
      <w:r>
        <w:rPr>
          <w:rFonts w:ascii="Times New Roman"/>
          <w:b w:val="false"/>
          <w:i w:val="false"/>
          <w:color w:val="000000"/>
          <w:sz w:val="28"/>
        </w:rPr>
        <w:t>
      the licensor’s (sublicensor’s) address;</w:t>
      </w:r>
    </w:p>
    <w:p>
      <w:pPr>
        <w:spacing w:after="0"/>
        <w:ind w:left="0"/>
        <w:jc w:val="both"/>
      </w:pPr>
      <w:r>
        <w:rPr>
          <w:rFonts w:ascii="Times New Roman"/>
          <w:b w:val="false"/>
          <w:i w:val="false"/>
          <w:color w:val="000000"/>
          <w:sz w:val="28"/>
        </w:rPr>
        <w:t>
      the licensee (sublicensee);</w:t>
      </w:r>
    </w:p>
    <w:p>
      <w:pPr>
        <w:spacing w:after="0"/>
        <w:ind w:left="0"/>
        <w:jc w:val="both"/>
      </w:pPr>
      <w:r>
        <w:rPr>
          <w:rFonts w:ascii="Times New Roman"/>
          <w:b w:val="false"/>
          <w:i w:val="false"/>
          <w:color w:val="000000"/>
          <w:sz w:val="28"/>
        </w:rPr>
        <w:t>
      the licensee’s (sublicensee’s) address.</w:t>
      </w:r>
    </w:p>
    <w:p>
      <w:pPr>
        <w:spacing w:after="0"/>
        <w:ind w:left="0"/>
        <w:jc w:val="both"/>
      </w:pPr>
      <w:r>
        <w:rPr>
          <w:rFonts w:ascii="Times New Roman"/>
          <w:b w:val="false"/>
          <w:i w:val="false"/>
          <w:color w:val="000000"/>
          <w:sz w:val="28"/>
        </w:rPr>
        <w:t>
      3) on a pledge agreement:</w:t>
      </w:r>
    </w:p>
    <w:p>
      <w:pPr>
        <w:spacing w:after="0"/>
        <w:ind w:left="0"/>
        <w:jc w:val="both"/>
      </w:pPr>
      <w:r>
        <w:rPr>
          <w:rFonts w:ascii="Times New Roman"/>
          <w:b w:val="false"/>
          <w:i w:val="false"/>
          <w:color w:val="000000"/>
          <w:sz w:val="28"/>
        </w:rPr>
        <w:t>
      the type of the agreement;</w:t>
      </w:r>
    </w:p>
    <w:p>
      <w:pPr>
        <w:spacing w:after="0"/>
        <w:ind w:left="0"/>
        <w:jc w:val="both"/>
      </w:pPr>
      <w:r>
        <w:rPr>
          <w:rFonts w:ascii="Times New Roman"/>
          <w:b w:val="false"/>
          <w:i w:val="false"/>
          <w:color w:val="000000"/>
          <w:sz w:val="28"/>
        </w:rPr>
        <w:t>
      the number of the agreement;</w:t>
      </w:r>
    </w:p>
    <w:p>
      <w:pPr>
        <w:spacing w:after="0"/>
        <w:ind w:left="0"/>
        <w:jc w:val="both"/>
      </w:pPr>
      <w:r>
        <w:rPr>
          <w:rFonts w:ascii="Times New Roman"/>
          <w:b w:val="false"/>
          <w:i w:val="false"/>
          <w:color w:val="000000"/>
          <w:sz w:val="28"/>
        </w:rPr>
        <w:t>
      the date of the agreement’s registration;</w:t>
      </w:r>
    </w:p>
    <w:p>
      <w:pPr>
        <w:spacing w:after="0"/>
        <w:ind w:left="0"/>
        <w:jc w:val="both"/>
      </w:pPr>
      <w:r>
        <w:rPr>
          <w:rFonts w:ascii="Times New Roman"/>
          <w:b w:val="false"/>
          <w:i w:val="false"/>
          <w:color w:val="000000"/>
          <w:sz w:val="28"/>
        </w:rPr>
        <w:t>
      the name of the trademark, service mark;</w:t>
      </w:r>
    </w:p>
    <w:p>
      <w:pPr>
        <w:spacing w:after="0"/>
        <w:ind w:left="0"/>
        <w:jc w:val="both"/>
      </w:pPr>
      <w:r>
        <w:rPr>
          <w:rFonts w:ascii="Times New Roman"/>
          <w:b w:val="false"/>
          <w:i w:val="false"/>
          <w:color w:val="000000"/>
          <w:sz w:val="28"/>
        </w:rPr>
        <w:t>
      the registration number;</w:t>
      </w:r>
    </w:p>
    <w:p>
      <w:pPr>
        <w:spacing w:after="0"/>
        <w:ind w:left="0"/>
        <w:jc w:val="both"/>
      </w:pPr>
      <w:r>
        <w:rPr>
          <w:rFonts w:ascii="Times New Roman"/>
          <w:b w:val="false"/>
          <w:i w:val="false"/>
          <w:color w:val="000000"/>
          <w:sz w:val="28"/>
        </w:rPr>
        <w:t>
      the application's number;</w:t>
      </w:r>
    </w:p>
    <w:p>
      <w:pPr>
        <w:spacing w:after="0"/>
        <w:ind w:left="0"/>
        <w:jc w:val="both"/>
      </w:pPr>
      <w:r>
        <w:rPr>
          <w:rFonts w:ascii="Times New Roman"/>
          <w:b w:val="false"/>
          <w:i w:val="false"/>
          <w:color w:val="000000"/>
          <w:sz w:val="28"/>
        </w:rPr>
        <w:t>
      the licensor (sublicensor);</w:t>
      </w:r>
    </w:p>
    <w:p>
      <w:pPr>
        <w:spacing w:after="0"/>
        <w:ind w:left="0"/>
        <w:jc w:val="both"/>
      </w:pPr>
      <w:r>
        <w:rPr>
          <w:rFonts w:ascii="Times New Roman"/>
          <w:b w:val="false"/>
          <w:i w:val="false"/>
          <w:color w:val="000000"/>
          <w:sz w:val="28"/>
        </w:rPr>
        <w:t>
      the licensor’s (sublicensor’s) address;</w:t>
      </w:r>
    </w:p>
    <w:p>
      <w:pPr>
        <w:spacing w:after="0"/>
        <w:ind w:left="0"/>
        <w:jc w:val="both"/>
      </w:pPr>
      <w:r>
        <w:rPr>
          <w:rFonts w:ascii="Times New Roman"/>
          <w:b w:val="false"/>
          <w:i w:val="false"/>
          <w:color w:val="000000"/>
          <w:sz w:val="28"/>
        </w:rPr>
        <w:t>
      the licensee (sublicensee);</w:t>
      </w:r>
    </w:p>
    <w:p>
      <w:pPr>
        <w:spacing w:after="0"/>
        <w:ind w:left="0"/>
        <w:jc w:val="both"/>
      </w:pPr>
      <w:r>
        <w:rPr>
          <w:rFonts w:ascii="Times New Roman"/>
          <w:b w:val="false"/>
          <w:i w:val="false"/>
          <w:color w:val="000000"/>
          <w:sz w:val="28"/>
        </w:rPr>
        <w:t>
      the licensee’s (sublicensee’s) address.</w:t>
      </w:r>
    </w:p>
    <w:p>
      <w:pPr>
        <w:spacing w:after="0"/>
        <w:ind w:left="0"/>
        <w:jc w:val="both"/>
      </w:pPr>
      <w:r>
        <w:rPr>
          <w:rFonts w:ascii="Times New Roman"/>
          <w:b w:val="false"/>
          <w:i w:val="false"/>
          <w:color w:val="000000"/>
          <w:sz w:val="28"/>
        </w:rPr>
        <w:t>
      4) on a franchise agreement:</w:t>
      </w:r>
    </w:p>
    <w:p>
      <w:pPr>
        <w:spacing w:after="0"/>
        <w:ind w:left="0"/>
        <w:jc w:val="both"/>
      </w:pPr>
      <w:r>
        <w:rPr>
          <w:rFonts w:ascii="Times New Roman"/>
          <w:b w:val="false"/>
          <w:i w:val="false"/>
          <w:color w:val="000000"/>
          <w:sz w:val="28"/>
        </w:rPr>
        <w:t>
      the type of the agreement;</w:t>
      </w:r>
    </w:p>
    <w:p>
      <w:pPr>
        <w:spacing w:after="0"/>
        <w:ind w:left="0"/>
        <w:jc w:val="both"/>
      </w:pPr>
      <w:r>
        <w:rPr>
          <w:rFonts w:ascii="Times New Roman"/>
          <w:b w:val="false"/>
          <w:i w:val="false"/>
          <w:color w:val="000000"/>
          <w:sz w:val="28"/>
        </w:rPr>
        <w:t>
      the number of the agreement;</w:t>
      </w:r>
    </w:p>
    <w:p>
      <w:pPr>
        <w:spacing w:after="0"/>
        <w:ind w:left="0"/>
        <w:jc w:val="both"/>
      </w:pPr>
      <w:r>
        <w:rPr>
          <w:rFonts w:ascii="Times New Roman"/>
          <w:b w:val="false"/>
          <w:i w:val="false"/>
          <w:color w:val="000000"/>
          <w:sz w:val="28"/>
        </w:rPr>
        <w:t>
      the date of the agreement’s registration;</w:t>
      </w:r>
    </w:p>
    <w:p>
      <w:pPr>
        <w:spacing w:after="0"/>
        <w:ind w:left="0"/>
        <w:jc w:val="both"/>
      </w:pPr>
      <w:r>
        <w:rPr>
          <w:rFonts w:ascii="Times New Roman"/>
          <w:b w:val="false"/>
          <w:i w:val="false"/>
          <w:color w:val="000000"/>
          <w:sz w:val="28"/>
        </w:rPr>
        <w:t>
      the name of the trademark, service mark;</w:t>
      </w:r>
    </w:p>
    <w:p>
      <w:pPr>
        <w:spacing w:after="0"/>
        <w:ind w:left="0"/>
        <w:jc w:val="both"/>
      </w:pPr>
      <w:r>
        <w:rPr>
          <w:rFonts w:ascii="Times New Roman"/>
          <w:b w:val="false"/>
          <w:i w:val="false"/>
          <w:color w:val="000000"/>
          <w:sz w:val="28"/>
        </w:rPr>
        <w:t xml:space="preserve">
      the registration number; </w:t>
      </w:r>
    </w:p>
    <w:p>
      <w:pPr>
        <w:spacing w:after="0"/>
        <w:ind w:left="0"/>
        <w:jc w:val="both"/>
      </w:pPr>
      <w:r>
        <w:rPr>
          <w:rFonts w:ascii="Times New Roman"/>
          <w:b w:val="false"/>
          <w:i w:val="false"/>
          <w:color w:val="000000"/>
          <w:sz w:val="28"/>
        </w:rPr>
        <w:t>
      the application's number;</w:t>
      </w:r>
    </w:p>
    <w:p>
      <w:pPr>
        <w:spacing w:after="0"/>
        <w:ind w:left="0"/>
        <w:jc w:val="both"/>
      </w:pPr>
      <w:r>
        <w:rPr>
          <w:rFonts w:ascii="Times New Roman"/>
          <w:b w:val="false"/>
          <w:i w:val="false"/>
          <w:color w:val="000000"/>
          <w:sz w:val="28"/>
        </w:rPr>
        <w:t>
      the filing date;</w:t>
      </w:r>
    </w:p>
    <w:p>
      <w:pPr>
        <w:spacing w:after="0"/>
        <w:ind w:left="0"/>
        <w:jc w:val="both"/>
      </w:pPr>
      <w:r>
        <w:rPr>
          <w:rFonts w:ascii="Times New Roman"/>
          <w:b w:val="false"/>
          <w:i w:val="false"/>
          <w:color w:val="000000"/>
          <w:sz w:val="28"/>
        </w:rPr>
        <w:t>
      the licensor (sublicensor);</w:t>
      </w:r>
    </w:p>
    <w:p>
      <w:pPr>
        <w:spacing w:after="0"/>
        <w:ind w:left="0"/>
        <w:jc w:val="both"/>
      </w:pPr>
      <w:r>
        <w:rPr>
          <w:rFonts w:ascii="Times New Roman"/>
          <w:b w:val="false"/>
          <w:i w:val="false"/>
          <w:color w:val="000000"/>
          <w:sz w:val="28"/>
        </w:rPr>
        <w:t>
      the licensor’s (sublicensor’s) address;</w:t>
      </w:r>
    </w:p>
    <w:p>
      <w:pPr>
        <w:spacing w:after="0"/>
        <w:ind w:left="0"/>
        <w:jc w:val="both"/>
      </w:pPr>
      <w:r>
        <w:rPr>
          <w:rFonts w:ascii="Times New Roman"/>
          <w:b w:val="false"/>
          <w:i w:val="false"/>
          <w:color w:val="000000"/>
          <w:sz w:val="28"/>
        </w:rPr>
        <w:t>
      the licensee (sublicensee);</w:t>
      </w:r>
    </w:p>
    <w:p>
      <w:pPr>
        <w:spacing w:after="0"/>
        <w:ind w:left="0"/>
        <w:jc w:val="both"/>
      </w:pPr>
      <w:r>
        <w:rPr>
          <w:rFonts w:ascii="Times New Roman"/>
          <w:b w:val="false"/>
          <w:i w:val="false"/>
          <w:color w:val="000000"/>
          <w:sz w:val="28"/>
        </w:rPr>
        <w:t>
      the licensee’s (sublicensee’s) address.</w:t>
      </w:r>
    </w:p>
    <w:p>
      <w:pPr>
        <w:spacing w:after="0"/>
        <w:ind w:left="0"/>
        <w:jc w:val="both"/>
      </w:pPr>
      <w:r>
        <w:rPr>
          <w:rFonts w:ascii="Times New Roman"/>
          <w:b w:val="false"/>
          <w:i w:val="false"/>
          <w:color w:val="000000"/>
          <w:sz w:val="28"/>
        </w:rPr>
        <w:t>
      5) on additional agreements to registered agreements:</w:t>
      </w:r>
    </w:p>
    <w:p>
      <w:pPr>
        <w:spacing w:after="0"/>
        <w:ind w:left="0"/>
        <w:jc w:val="both"/>
      </w:pPr>
      <w:r>
        <w:rPr>
          <w:rFonts w:ascii="Times New Roman"/>
          <w:b w:val="false"/>
          <w:i w:val="false"/>
          <w:color w:val="000000"/>
          <w:sz w:val="28"/>
        </w:rPr>
        <w:t>
      the type of the agreement;</w:t>
      </w:r>
    </w:p>
    <w:p>
      <w:pPr>
        <w:spacing w:after="0"/>
        <w:ind w:left="0"/>
        <w:jc w:val="both"/>
      </w:pPr>
      <w:r>
        <w:rPr>
          <w:rFonts w:ascii="Times New Roman"/>
          <w:b w:val="false"/>
          <w:i w:val="false"/>
          <w:color w:val="000000"/>
          <w:sz w:val="28"/>
        </w:rPr>
        <w:t>
      the number of the agreement;</w:t>
      </w:r>
    </w:p>
    <w:p>
      <w:pPr>
        <w:spacing w:after="0"/>
        <w:ind w:left="0"/>
        <w:jc w:val="both"/>
      </w:pPr>
      <w:r>
        <w:rPr>
          <w:rFonts w:ascii="Times New Roman"/>
          <w:b w:val="false"/>
          <w:i w:val="false"/>
          <w:color w:val="000000"/>
          <w:sz w:val="28"/>
        </w:rPr>
        <w:t>
      the date of the agreement’s registration;</w:t>
      </w:r>
    </w:p>
    <w:p>
      <w:pPr>
        <w:spacing w:after="0"/>
        <w:ind w:left="0"/>
        <w:jc w:val="both"/>
      </w:pPr>
      <w:r>
        <w:rPr>
          <w:rFonts w:ascii="Times New Roman"/>
          <w:b w:val="false"/>
          <w:i w:val="false"/>
          <w:color w:val="000000"/>
          <w:sz w:val="28"/>
        </w:rPr>
        <w:t>
      the name of the trademark, service mark;</w:t>
      </w:r>
    </w:p>
    <w:p>
      <w:pPr>
        <w:spacing w:after="0"/>
        <w:ind w:left="0"/>
        <w:jc w:val="both"/>
      </w:pPr>
      <w:r>
        <w:rPr>
          <w:rFonts w:ascii="Times New Roman"/>
          <w:b w:val="false"/>
          <w:i w:val="false"/>
          <w:color w:val="000000"/>
          <w:sz w:val="28"/>
        </w:rPr>
        <w:t xml:space="preserve">
      the registration number; </w:t>
      </w:r>
    </w:p>
    <w:p>
      <w:pPr>
        <w:spacing w:after="0"/>
        <w:ind w:left="0"/>
        <w:jc w:val="both"/>
      </w:pPr>
      <w:r>
        <w:rPr>
          <w:rFonts w:ascii="Times New Roman"/>
          <w:b w:val="false"/>
          <w:i w:val="false"/>
          <w:color w:val="000000"/>
          <w:sz w:val="28"/>
        </w:rPr>
        <w:t>
      the application's number;</w:t>
      </w:r>
    </w:p>
    <w:p>
      <w:pPr>
        <w:spacing w:after="0"/>
        <w:ind w:left="0"/>
        <w:jc w:val="both"/>
      </w:pPr>
      <w:r>
        <w:rPr>
          <w:rFonts w:ascii="Times New Roman"/>
          <w:b w:val="false"/>
          <w:i w:val="false"/>
          <w:color w:val="000000"/>
          <w:sz w:val="28"/>
        </w:rPr>
        <w:t>
      the filing date;</w:t>
      </w:r>
    </w:p>
    <w:p>
      <w:pPr>
        <w:spacing w:after="0"/>
        <w:ind w:left="0"/>
        <w:jc w:val="both"/>
      </w:pPr>
      <w:r>
        <w:rPr>
          <w:rFonts w:ascii="Times New Roman"/>
          <w:b w:val="false"/>
          <w:i w:val="false"/>
          <w:color w:val="000000"/>
          <w:sz w:val="28"/>
        </w:rPr>
        <w:t>
      the licensor (sublicensor);</w:t>
      </w:r>
    </w:p>
    <w:p>
      <w:pPr>
        <w:spacing w:after="0"/>
        <w:ind w:left="0"/>
        <w:jc w:val="both"/>
      </w:pPr>
      <w:r>
        <w:rPr>
          <w:rFonts w:ascii="Times New Roman"/>
          <w:b w:val="false"/>
          <w:i w:val="false"/>
          <w:color w:val="000000"/>
          <w:sz w:val="28"/>
        </w:rPr>
        <w:t>
      the licensor’s (sublicensor’s) address;</w:t>
      </w:r>
    </w:p>
    <w:p>
      <w:pPr>
        <w:spacing w:after="0"/>
        <w:ind w:left="0"/>
        <w:jc w:val="both"/>
      </w:pPr>
      <w:r>
        <w:rPr>
          <w:rFonts w:ascii="Times New Roman"/>
          <w:b w:val="false"/>
          <w:i w:val="false"/>
          <w:color w:val="000000"/>
          <w:sz w:val="28"/>
        </w:rPr>
        <w:t>
      the licensee (sublicensee);</w:t>
      </w:r>
    </w:p>
    <w:p>
      <w:pPr>
        <w:spacing w:after="0"/>
        <w:ind w:left="0"/>
        <w:jc w:val="both"/>
      </w:pPr>
      <w:r>
        <w:rPr>
          <w:rFonts w:ascii="Times New Roman"/>
          <w:b w:val="false"/>
          <w:i w:val="false"/>
          <w:color w:val="000000"/>
          <w:sz w:val="28"/>
        </w:rPr>
        <w:t>
      the licensee’s (sublicensee’s) address;</w:t>
      </w:r>
    </w:p>
    <w:p>
      <w:pPr>
        <w:spacing w:after="0"/>
        <w:ind w:left="0"/>
        <w:jc w:val="both"/>
      </w:pPr>
      <w:r>
        <w:rPr>
          <w:rFonts w:ascii="Times New Roman"/>
          <w:b w:val="false"/>
          <w:i w:val="false"/>
          <w:color w:val="000000"/>
          <w:sz w:val="28"/>
        </w:rPr>
        <w:t>
      indication of changes.</w:t>
      </w:r>
    </w:p>
    <w:p>
      <w:pPr>
        <w:spacing w:after="0"/>
        <w:ind w:left="0"/>
        <w:jc w:val="both"/>
      </w:pPr>
      <w:r>
        <w:rPr>
          <w:rFonts w:ascii="Times New Roman"/>
          <w:b w:val="false"/>
          <w:i w:val="false"/>
          <w:color w:val="000000"/>
          <w:sz w:val="28"/>
        </w:rPr>
        <w:t xml:space="preserve">
      6) on invalidation of the registration of a trademark in whole or in part: </w:t>
      </w:r>
    </w:p>
    <w:p>
      <w:pPr>
        <w:spacing w:after="0"/>
        <w:ind w:left="0"/>
        <w:jc w:val="both"/>
      </w:pPr>
      <w:r>
        <w:rPr>
          <w:rFonts w:ascii="Times New Roman"/>
          <w:b w:val="false"/>
          <w:i w:val="false"/>
          <w:color w:val="000000"/>
          <w:sz w:val="28"/>
        </w:rPr>
        <w:t>
      the name of the trademark, service mark;</w:t>
      </w:r>
    </w:p>
    <w:p>
      <w:pPr>
        <w:spacing w:after="0"/>
        <w:ind w:left="0"/>
        <w:jc w:val="both"/>
      </w:pPr>
      <w:r>
        <w:rPr>
          <w:rFonts w:ascii="Times New Roman"/>
          <w:b w:val="false"/>
          <w:i w:val="false"/>
          <w:color w:val="000000"/>
          <w:sz w:val="28"/>
        </w:rPr>
        <w:t xml:space="preserve">
      the registration number; </w:t>
      </w:r>
    </w:p>
    <w:p>
      <w:pPr>
        <w:spacing w:after="0"/>
        <w:ind w:left="0"/>
        <w:jc w:val="both"/>
      </w:pPr>
      <w:r>
        <w:rPr>
          <w:rFonts w:ascii="Times New Roman"/>
          <w:b w:val="false"/>
          <w:i w:val="false"/>
          <w:color w:val="000000"/>
          <w:sz w:val="28"/>
        </w:rPr>
        <w:t>
      the application's number;</w:t>
      </w:r>
    </w:p>
    <w:p>
      <w:pPr>
        <w:spacing w:after="0"/>
        <w:ind w:left="0"/>
        <w:jc w:val="both"/>
      </w:pPr>
      <w:r>
        <w:rPr>
          <w:rFonts w:ascii="Times New Roman"/>
          <w:b w:val="false"/>
          <w:i w:val="false"/>
          <w:color w:val="000000"/>
          <w:sz w:val="28"/>
        </w:rPr>
        <w:t>
      the filing date;</w:t>
      </w:r>
    </w:p>
    <w:p>
      <w:pPr>
        <w:spacing w:after="0"/>
        <w:ind w:left="0"/>
        <w:jc w:val="both"/>
      </w:pPr>
      <w:r>
        <w:rPr>
          <w:rFonts w:ascii="Times New Roman"/>
          <w:b w:val="false"/>
          <w:i w:val="false"/>
          <w:color w:val="000000"/>
          <w:sz w:val="28"/>
        </w:rPr>
        <w:t>
      the owner;</w:t>
      </w:r>
    </w:p>
    <w:p>
      <w:pPr>
        <w:spacing w:after="0"/>
        <w:ind w:left="0"/>
        <w:jc w:val="both"/>
      </w:pPr>
      <w:r>
        <w:rPr>
          <w:rFonts w:ascii="Times New Roman"/>
          <w:b w:val="false"/>
          <w:i w:val="false"/>
          <w:color w:val="000000"/>
          <w:sz w:val="28"/>
        </w:rPr>
        <w:t xml:space="preserve">
      subject matter and reasons for considering invalid in whole or in part. </w:t>
      </w:r>
    </w:p>
    <w:p>
      <w:pPr>
        <w:spacing w:after="0"/>
        <w:ind w:left="0"/>
        <w:jc w:val="both"/>
      </w:pPr>
      <w:r>
        <w:rPr>
          <w:rFonts w:ascii="Times New Roman"/>
          <w:b w:val="false"/>
          <w:i w:val="false"/>
          <w:color w:val="000000"/>
          <w:sz w:val="28"/>
        </w:rPr>
        <w:t xml:space="preserve">
      7) on termination of the trademark’s registration at the owner’s initiative: </w:t>
      </w:r>
    </w:p>
    <w:p>
      <w:pPr>
        <w:spacing w:after="0"/>
        <w:ind w:left="0"/>
        <w:jc w:val="both"/>
      </w:pPr>
      <w:r>
        <w:rPr>
          <w:rFonts w:ascii="Times New Roman"/>
          <w:b w:val="false"/>
          <w:i w:val="false"/>
          <w:color w:val="000000"/>
          <w:sz w:val="28"/>
        </w:rPr>
        <w:t>
      the name of the trademark, service mark;</w:t>
      </w:r>
    </w:p>
    <w:p>
      <w:pPr>
        <w:spacing w:after="0"/>
        <w:ind w:left="0"/>
        <w:jc w:val="both"/>
      </w:pPr>
      <w:r>
        <w:rPr>
          <w:rFonts w:ascii="Times New Roman"/>
          <w:b w:val="false"/>
          <w:i w:val="false"/>
          <w:color w:val="000000"/>
          <w:sz w:val="28"/>
        </w:rPr>
        <w:t>
      the registration number;</w:t>
      </w:r>
    </w:p>
    <w:p>
      <w:pPr>
        <w:spacing w:after="0"/>
        <w:ind w:left="0"/>
        <w:jc w:val="both"/>
      </w:pPr>
      <w:r>
        <w:rPr>
          <w:rFonts w:ascii="Times New Roman"/>
          <w:b w:val="false"/>
          <w:i w:val="false"/>
          <w:color w:val="000000"/>
          <w:sz w:val="28"/>
        </w:rPr>
        <w:t>
      the application's number;</w:t>
      </w:r>
    </w:p>
    <w:p>
      <w:pPr>
        <w:spacing w:after="0"/>
        <w:ind w:left="0"/>
        <w:jc w:val="both"/>
      </w:pPr>
      <w:r>
        <w:rPr>
          <w:rFonts w:ascii="Times New Roman"/>
          <w:b w:val="false"/>
          <w:i w:val="false"/>
          <w:color w:val="000000"/>
          <w:sz w:val="28"/>
        </w:rPr>
        <w:t>
      the filing date;</w:t>
      </w:r>
    </w:p>
    <w:p>
      <w:pPr>
        <w:spacing w:after="0"/>
        <w:ind w:left="0"/>
        <w:jc w:val="both"/>
      </w:pPr>
      <w:r>
        <w:rPr>
          <w:rFonts w:ascii="Times New Roman"/>
          <w:b w:val="false"/>
          <w:i w:val="false"/>
          <w:color w:val="000000"/>
          <w:sz w:val="28"/>
        </w:rPr>
        <w:t>
      the owner;</w:t>
      </w:r>
    </w:p>
    <w:p>
      <w:pPr>
        <w:spacing w:after="0"/>
        <w:ind w:left="0"/>
        <w:jc w:val="both"/>
      </w:pPr>
      <w:r>
        <w:rPr>
          <w:rFonts w:ascii="Times New Roman"/>
          <w:b w:val="false"/>
          <w:i w:val="false"/>
          <w:color w:val="000000"/>
          <w:sz w:val="28"/>
        </w:rPr>
        <w:t>
      subject matter and reasons for termination.</w:t>
      </w:r>
    </w:p>
    <w:p>
      <w:pPr>
        <w:spacing w:after="0"/>
        <w:ind w:left="0"/>
        <w:jc w:val="both"/>
      </w:pPr>
      <w:r>
        <w:rPr>
          <w:rFonts w:ascii="Times New Roman"/>
          <w:b w:val="false"/>
          <w:i w:val="false"/>
          <w:color w:val="000000"/>
          <w:sz w:val="28"/>
        </w:rPr>
        <w:t>
      8) on extension of validity of the trademark’s registration:</w:t>
      </w:r>
    </w:p>
    <w:p>
      <w:pPr>
        <w:spacing w:after="0"/>
        <w:ind w:left="0"/>
        <w:jc w:val="both"/>
      </w:pPr>
      <w:r>
        <w:rPr>
          <w:rFonts w:ascii="Times New Roman"/>
          <w:b w:val="false"/>
          <w:i w:val="false"/>
          <w:color w:val="000000"/>
          <w:sz w:val="28"/>
        </w:rPr>
        <w:t>
      the registration number;</w:t>
      </w:r>
    </w:p>
    <w:p>
      <w:pPr>
        <w:spacing w:after="0"/>
        <w:ind w:left="0"/>
        <w:jc w:val="both"/>
      </w:pPr>
      <w:r>
        <w:rPr>
          <w:rFonts w:ascii="Times New Roman"/>
          <w:b w:val="false"/>
          <w:i w:val="false"/>
          <w:color w:val="000000"/>
          <w:sz w:val="28"/>
        </w:rPr>
        <w:t>
      the owner’s name;</w:t>
      </w:r>
    </w:p>
    <w:p>
      <w:pPr>
        <w:spacing w:after="0"/>
        <w:ind w:left="0"/>
        <w:jc w:val="both"/>
      </w:pPr>
      <w:r>
        <w:rPr>
          <w:rFonts w:ascii="Times New Roman"/>
          <w:b w:val="false"/>
          <w:i w:val="false"/>
          <w:color w:val="000000"/>
          <w:sz w:val="28"/>
        </w:rPr>
        <w:t>
      the date until which the patent has been extended.</w:t>
      </w:r>
    </w:p>
    <w:p>
      <w:pPr>
        <w:spacing w:after="0"/>
        <w:ind w:left="0"/>
        <w:jc w:val="both"/>
      </w:pPr>
      <w:r>
        <w:rPr>
          <w:rFonts w:ascii="Times New Roman"/>
          <w:b w:val="false"/>
          <w:i w:val="false"/>
          <w:color w:val="000000"/>
          <w:sz w:val="28"/>
        </w:rPr>
        <w:t xml:space="preserve">
      9) on changes in the name of the owner that is a legal entity in connection with its reorganization (succession) and/or in its location address: </w:t>
      </w:r>
    </w:p>
    <w:p>
      <w:pPr>
        <w:spacing w:after="0"/>
        <w:ind w:left="0"/>
        <w:jc w:val="both"/>
      </w:pPr>
      <w:r>
        <w:rPr>
          <w:rFonts w:ascii="Times New Roman"/>
          <w:b w:val="false"/>
          <w:i w:val="false"/>
          <w:color w:val="000000"/>
          <w:sz w:val="28"/>
        </w:rPr>
        <w:t>
      the registration number;</w:t>
      </w:r>
    </w:p>
    <w:p>
      <w:pPr>
        <w:spacing w:after="0"/>
        <w:ind w:left="0"/>
        <w:jc w:val="both"/>
      </w:pPr>
      <w:r>
        <w:rPr>
          <w:rFonts w:ascii="Times New Roman"/>
          <w:b w:val="false"/>
          <w:i w:val="false"/>
          <w:color w:val="000000"/>
          <w:sz w:val="28"/>
        </w:rPr>
        <w:t xml:space="preserve">
      the new name of the legal entity and/or address of the owner of the registered trademark. </w:t>
      </w:r>
    </w:p>
    <w:p>
      <w:pPr>
        <w:spacing w:after="0"/>
        <w:ind w:left="0"/>
        <w:jc w:val="both"/>
      </w:pPr>
      <w:r>
        <w:rPr>
          <w:rFonts w:ascii="Times New Roman"/>
          <w:b w:val="false"/>
          <w:i w:val="false"/>
          <w:color w:val="000000"/>
          <w:sz w:val="28"/>
        </w:rPr>
        <w:t>
      10) on changes in the last and first names, patronymic (if any) of the owner that is an individual and/or his/her residence address:</w:t>
      </w:r>
    </w:p>
    <w:p>
      <w:pPr>
        <w:spacing w:after="0"/>
        <w:ind w:left="0"/>
        <w:jc w:val="both"/>
      </w:pPr>
      <w:r>
        <w:rPr>
          <w:rFonts w:ascii="Times New Roman"/>
          <w:b w:val="false"/>
          <w:i w:val="false"/>
          <w:color w:val="000000"/>
          <w:sz w:val="28"/>
        </w:rPr>
        <w:t>
      the registration number;</w:t>
      </w:r>
    </w:p>
    <w:p>
      <w:pPr>
        <w:spacing w:after="0"/>
        <w:ind w:left="0"/>
        <w:jc w:val="both"/>
      </w:pPr>
      <w:r>
        <w:rPr>
          <w:rFonts w:ascii="Times New Roman"/>
          <w:b w:val="false"/>
          <w:i w:val="false"/>
          <w:color w:val="000000"/>
          <w:sz w:val="28"/>
        </w:rPr>
        <w:t>
      11) on reduction of the list of goods (services) in respect of which the trademark is registered, which does not change the registration on the merits:</w:t>
      </w:r>
    </w:p>
    <w:p>
      <w:pPr>
        <w:spacing w:after="0"/>
        <w:ind w:left="0"/>
        <w:jc w:val="both"/>
      </w:pPr>
      <w:r>
        <w:rPr>
          <w:rFonts w:ascii="Times New Roman"/>
          <w:b w:val="false"/>
          <w:i w:val="false"/>
          <w:color w:val="000000"/>
          <w:sz w:val="28"/>
        </w:rPr>
        <w:t>
      the registration number.</w:t>
      </w:r>
    </w:p>
    <w:p>
      <w:pPr>
        <w:spacing w:after="0"/>
        <w:ind w:left="0"/>
        <w:jc w:val="both"/>
      </w:pPr>
      <w:r>
        <w:rPr>
          <w:rFonts w:ascii="Times New Roman"/>
          <w:b w:val="false"/>
          <w:i w:val="false"/>
          <w:color w:val="000000"/>
          <w:sz w:val="28"/>
        </w:rPr>
        <w:t>
      12) on correction of obvious and technical errors, as well as other changes concerning the registration of a trademark:</w:t>
      </w:r>
    </w:p>
    <w:p>
      <w:pPr>
        <w:spacing w:after="0"/>
        <w:ind w:left="0"/>
        <w:jc w:val="both"/>
      </w:pPr>
      <w:r>
        <w:rPr>
          <w:rFonts w:ascii="Times New Roman"/>
          <w:b w:val="false"/>
          <w:i w:val="false"/>
          <w:color w:val="000000"/>
          <w:sz w:val="28"/>
        </w:rPr>
        <w:t>
      the registration number;</w:t>
      </w:r>
    </w:p>
    <w:p>
      <w:pPr>
        <w:spacing w:after="0"/>
        <w:ind w:left="0"/>
        <w:jc w:val="both"/>
      </w:pPr>
      <w:r>
        <w:rPr>
          <w:rFonts w:ascii="Times New Roman"/>
          <w:b w:val="false"/>
          <w:i w:val="false"/>
          <w:color w:val="000000"/>
          <w:sz w:val="28"/>
        </w:rPr>
        <w:t>
      description of the corrected data.</w:t>
      </w:r>
    </w:p>
    <w:p>
      <w:pPr>
        <w:spacing w:after="0"/>
        <w:ind w:left="0"/>
        <w:jc w:val="both"/>
      </w:pPr>
      <w:r>
        <w:rPr>
          <w:rFonts w:ascii="Times New Roman"/>
          <w:b w:val="false"/>
          <w:i w:val="false"/>
          <w:color w:val="000000"/>
          <w:sz w:val="28"/>
        </w:rPr>
        <w:t>
      Changes relating to the registration, except for changes in the mailing address and the representative’s address, shall be sent for publication in the bulletin in the form of a notice.</w:t>
      </w:r>
    </w:p>
    <w:p>
      <w:pPr>
        <w:spacing w:after="0"/>
        <w:ind w:left="0"/>
        <w:jc w:val="both"/>
      </w:pPr>
      <w:r>
        <w:rPr>
          <w:rFonts w:ascii="Times New Roman"/>
          <w:b w:val="false"/>
          <w:i w:val="false"/>
          <w:color w:val="000000"/>
          <w:sz w:val="28"/>
        </w:rPr>
        <w:t>
      Information on making changes to the State Register of Trademarks shall be published by the expert organization after sending a relevant notification.</w:t>
      </w:r>
    </w:p>
    <w:p>
      <w:pPr>
        <w:spacing w:after="0"/>
        <w:ind w:left="0"/>
        <w:jc w:val="both"/>
      </w:pPr>
      <w:r>
        <w:rPr>
          <w:rFonts w:ascii="Times New Roman"/>
          <w:b w:val="false"/>
          <w:i w:val="false"/>
          <w:color w:val="000000"/>
          <w:sz w:val="28"/>
        </w:rPr>
        <w:t>
      Clause 2. The order for publishing information on the extension of validity of a trademark, service mark</w:t>
      </w:r>
    </w:p>
    <w:p>
      <w:pPr>
        <w:spacing w:after="0"/>
        <w:ind w:left="0"/>
        <w:jc w:val="both"/>
      </w:pPr>
      <w:r>
        <w:rPr>
          <w:rFonts w:ascii="Times New Roman"/>
          <w:b w:val="false"/>
          <w:i w:val="false"/>
          <w:color w:val="000000"/>
          <w:sz w:val="28"/>
        </w:rPr>
        <w:t xml:space="preserve">
      9. The expert organization shall weekly publish in Kazakh and Russian in the “Хабарлама - Notices” section information on the extension of validity of the registration of a trademark, service mark, appellation of origin of goods, indicating such data as: </w:t>
      </w:r>
    </w:p>
    <w:p>
      <w:pPr>
        <w:spacing w:after="0"/>
        <w:ind w:left="0"/>
        <w:jc w:val="both"/>
      </w:pPr>
      <w:r>
        <w:rPr>
          <w:rFonts w:ascii="Times New Roman"/>
          <w:b w:val="false"/>
          <w:i w:val="false"/>
          <w:color w:val="000000"/>
          <w:sz w:val="28"/>
        </w:rPr>
        <w:t xml:space="preserve">
      1) the registration number; </w:t>
      </w:r>
    </w:p>
    <w:p>
      <w:pPr>
        <w:spacing w:after="0"/>
        <w:ind w:left="0"/>
        <w:jc w:val="both"/>
      </w:pPr>
      <w:r>
        <w:rPr>
          <w:rFonts w:ascii="Times New Roman"/>
          <w:b w:val="false"/>
          <w:i w:val="false"/>
          <w:color w:val="000000"/>
          <w:sz w:val="28"/>
        </w:rPr>
        <w:t>
      2) the owner’s name;</w:t>
      </w:r>
    </w:p>
    <w:p>
      <w:pPr>
        <w:spacing w:after="0"/>
        <w:ind w:left="0"/>
        <w:jc w:val="both"/>
      </w:pPr>
      <w:r>
        <w:rPr>
          <w:rFonts w:ascii="Times New Roman"/>
          <w:b w:val="false"/>
          <w:i w:val="false"/>
          <w:color w:val="000000"/>
          <w:sz w:val="28"/>
        </w:rPr>
        <w:t>
      3) the date until which the patent has been extended.</w:t>
      </w:r>
    </w:p>
    <w:p>
      <w:pPr>
        <w:spacing w:after="0"/>
        <w:ind w:left="0"/>
        <w:jc w:val="both"/>
      </w:pPr>
      <w:r>
        <w:rPr>
          <w:rFonts w:ascii="Times New Roman"/>
          <w:b w:val="false"/>
          <w:i w:val="false"/>
          <w:color w:val="000000"/>
          <w:sz w:val="28"/>
        </w:rPr>
        <w:t>
      Information on the extension of a trademark, service mark shall be published by the expert organization after sending a relevant notification.</w:t>
      </w:r>
    </w:p>
    <w:p>
      <w:pPr>
        <w:spacing w:after="0"/>
        <w:ind w:left="0"/>
        <w:jc w:val="left"/>
      </w:pPr>
      <w:r>
        <w:rPr>
          <w:rFonts w:ascii="Times New Roman"/>
          <w:b/>
          <w:i w:val="false"/>
          <w:color w:val="000000"/>
        </w:rPr>
        <w:t xml:space="preserve"> Clause 3. The order for publishing information on early termination, invalidation and cancellation of the registration of a trademark, service mark</w:t>
      </w:r>
    </w:p>
    <w:p>
      <w:pPr>
        <w:spacing w:after="0"/>
        <w:ind w:left="0"/>
        <w:jc w:val="both"/>
      </w:pPr>
      <w:r>
        <w:rPr>
          <w:rFonts w:ascii="Times New Roman"/>
          <w:b w:val="false"/>
          <w:i w:val="false"/>
          <w:color w:val="000000"/>
          <w:sz w:val="28"/>
        </w:rPr>
        <w:t xml:space="preserve">
      10. The expert organization shall weekly publish in Kazakh and Russian in the “Хабарлама - Notices” section information on the cancellation of a trademark, service mark, indicating such data ad: </w:t>
      </w:r>
    </w:p>
    <w:p>
      <w:pPr>
        <w:spacing w:after="0"/>
        <w:ind w:left="0"/>
        <w:jc w:val="both"/>
      </w:pPr>
      <w:r>
        <w:rPr>
          <w:rFonts w:ascii="Times New Roman"/>
          <w:b w:val="false"/>
          <w:i w:val="false"/>
          <w:color w:val="000000"/>
          <w:sz w:val="28"/>
        </w:rPr>
        <w:t>
      1) the registration number (the application’s number, the filing date);</w:t>
      </w:r>
    </w:p>
    <w:p>
      <w:pPr>
        <w:spacing w:after="0"/>
        <w:ind w:left="0"/>
        <w:jc w:val="both"/>
      </w:pPr>
      <w:r>
        <w:rPr>
          <w:rFonts w:ascii="Times New Roman"/>
          <w:b w:val="false"/>
          <w:i w:val="false"/>
          <w:color w:val="000000"/>
          <w:sz w:val="28"/>
        </w:rPr>
        <w:t xml:space="preserve">
      2) the name; </w:t>
      </w:r>
    </w:p>
    <w:p>
      <w:pPr>
        <w:spacing w:after="0"/>
        <w:ind w:left="0"/>
        <w:jc w:val="both"/>
      </w:pPr>
      <w:r>
        <w:rPr>
          <w:rFonts w:ascii="Times New Roman"/>
          <w:b w:val="false"/>
          <w:i w:val="false"/>
          <w:color w:val="000000"/>
          <w:sz w:val="28"/>
        </w:rPr>
        <w:t>
      3) the owner’s name;</w:t>
      </w:r>
    </w:p>
    <w:p>
      <w:pPr>
        <w:spacing w:after="0"/>
        <w:ind w:left="0"/>
        <w:jc w:val="both"/>
      </w:pPr>
      <w:r>
        <w:rPr>
          <w:rFonts w:ascii="Times New Roman"/>
          <w:b w:val="false"/>
          <w:i w:val="false"/>
          <w:color w:val="000000"/>
          <w:sz w:val="28"/>
        </w:rPr>
        <w:t>
      4) the date of early termination, invalidation and cancellation;</w:t>
      </w:r>
    </w:p>
    <w:p>
      <w:pPr>
        <w:spacing w:after="0"/>
        <w:ind w:left="0"/>
        <w:jc w:val="both"/>
      </w:pPr>
      <w:r>
        <w:rPr>
          <w:rFonts w:ascii="Times New Roman"/>
          <w:b w:val="false"/>
          <w:i w:val="false"/>
          <w:color w:val="000000"/>
          <w:sz w:val="28"/>
        </w:rPr>
        <w:t>
      5) the reason for early termination, invalidation and cancellation.</w:t>
      </w:r>
    </w:p>
    <w:p>
      <w:pPr>
        <w:spacing w:after="0"/>
        <w:ind w:left="0"/>
        <w:jc w:val="both"/>
      </w:pPr>
      <w:r>
        <w:rPr>
          <w:rFonts w:ascii="Times New Roman"/>
          <w:b w:val="false"/>
          <w:i w:val="false"/>
          <w:color w:val="000000"/>
          <w:sz w:val="28"/>
        </w:rPr>
        <w:t>
      Information on the cancellation of a trademark, service mark shall be published by the expert organization after sending a relevant notification.</w:t>
      </w:r>
    </w:p>
    <w:p>
      <w:pPr>
        <w:spacing w:after="0"/>
        <w:ind w:left="0"/>
        <w:jc w:val="left"/>
      </w:pPr>
      <w:r>
        <w:rPr>
          <w:rFonts w:ascii="Times New Roman"/>
          <w:b/>
          <w:i w:val="false"/>
          <w:color w:val="000000"/>
        </w:rPr>
        <w:t xml:space="preserve"> Chapter 4. Procedure for Publishing in the Bulletin Data Regarding the Registration of Geographical Indications and Appellations of Origin of Goods</w:t>
      </w:r>
    </w:p>
    <w:p>
      <w:pPr>
        <w:spacing w:after="0"/>
        <w:ind w:left="0"/>
        <w:jc w:val="both"/>
      </w:pPr>
      <w:r>
        <w:rPr>
          <w:rFonts w:ascii="Times New Roman"/>
          <w:b w:val="false"/>
          <w:i w:val="false"/>
          <w:color w:val="ff0000"/>
          <w:sz w:val="28"/>
        </w:rPr>
        <w:t>
      Footnote. Chapter 4 - as reworded by Order of the Minister of Justice of the Republic of Kazakhstan No. 692 dated 18.08.2022 (shall be enforced upon expiration of ten calendar days after the day of its first official publication).</w:t>
      </w:r>
    </w:p>
    <w:p>
      <w:pPr>
        <w:spacing w:after="0"/>
        <w:ind w:left="0"/>
        <w:jc w:val="both"/>
      </w:pPr>
      <w:r>
        <w:rPr>
          <w:rFonts w:ascii="Times New Roman"/>
          <w:b w:val="false"/>
          <w:i w:val="false"/>
          <w:color w:val="000000"/>
          <w:sz w:val="28"/>
        </w:rPr>
        <w:t>
      11. Based on the registration in the relevant State Registers, the following data shall be published weekly by the expert organisations in the official bulletin in the sections “Geographiyalyk Nuskamalar –</w:t>
      </w:r>
    </w:p>
    <w:p>
      <w:pPr>
        <w:spacing w:after="0"/>
        <w:ind w:left="0"/>
        <w:jc w:val="both"/>
      </w:pPr>
      <w:r>
        <w:rPr>
          <w:rFonts w:ascii="Times New Roman"/>
          <w:b w:val="false"/>
          <w:i w:val="false"/>
          <w:color w:val="000000"/>
          <w:sz w:val="28"/>
        </w:rPr>
        <w:t>
      Geographical Indications and Tauar Shygarylgan Zherdin Atauy – Appellation of Origin of Goods” in Kazakh and Russian languages:</w:t>
      </w:r>
    </w:p>
    <w:p>
      <w:pPr>
        <w:spacing w:after="0"/>
        <w:ind w:left="0"/>
        <w:jc w:val="both"/>
      </w:pPr>
      <w:r>
        <w:rPr>
          <w:rFonts w:ascii="Times New Roman"/>
          <w:b w:val="false"/>
          <w:i w:val="false"/>
          <w:color w:val="000000"/>
          <w:sz w:val="28"/>
        </w:rPr>
        <w:t>
      1) geographical indications;</w:t>
      </w:r>
    </w:p>
    <w:p>
      <w:pPr>
        <w:spacing w:after="0"/>
        <w:ind w:left="0"/>
        <w:jc w:val="both"/>
      </w:pPr>
      <w:r>
        <w:rPr>
          <w:rFonts w:ascii="Times New Roman"/>
          <w:b w:val="false"/>
          <w:i w:val="false"/>
          <w:color w:val="000000"/>
          <w:sz w:val="28"/>
        </w:rPr>
        <w:t>
      2) the appellation of origin of goods;</w:t>
      </w:r>
    </w:p>
    <w:p>
      <w:pPr>
        <w:spacing w:after="0"/>
        <w:ind w:left="0"/>
        <w:jc w:val="both"/>
      </w:pPr>
      <w:r>
        <w:rPr>
          <w:rFonts w:ascii="Times New Roman"/>
          <w:b w:val="false"/>
          <w:i w:val="false"/>
          <w:color w:val="000000"/>
          <w:sz w:val="28"/>
        </w:rPr>
        <w:t>
      3) the number and date of registration;</w:t>
      </w:r>
    </w:p>
    <w:p>
      <w:pPr>
        <w:spacing w:after="0"/>
        <w:ind w:left="0"/>
        <w:jc w:val="both"/>
      </w:pPr>
      <w:r>
        <w:rPr>
          <w:rFonts w:ascii="Times New Roman"/>
          <w:b w:val="false"/>
          <w:i w:val="false"/>
          <w:color w:val="000000"/>
          <w:sz w:val="28"/>
        </w:rPr>
        <w:t>
      4) the description of special properties of the goods;</w:t>
      </w:r>
    </w:p>
    <w:p>
      <w:pPr>
        <w:spacing w:after="0"/>
        <w:ind w:left="0"/>
        <w:jc w:val="both"/>
      </w:pPr>
      <w:r>
        <w:rPr>
          <w:rFonts w:ascii="Times New Roman"/>
          <w:b w:val="false"/>
          <w:i w:val="false"/>
          <w:color w:val="000000"/>
          <w:sz w:val="28"/>
        </w:rPr>
        <w:t>
      5) the name of the owner and indication of his/her place of residence or location;</w:t>
      </w:r>
    </w:p>
    <w:p>
      <w:pPr>
        <w:spacing w:after="0"/>
        <w:ind w:left="0"/>
        <w:jc w:val="both"/>
      </w:pPr>
      <w:r>
        <w:rPr>
          <w:rFonts w:ascii="Times New Roman"/>
          <w:b w:val="false"/>
          <w:i w:val="false"/>
          <w:color w:val="000000"/>
          <w:sz w:val="28"/>
        </w:rPr>
        <w:t>
      6) the number and date of filing of the application;</w:t>
      </w:r>
    </w:p>
    <w:p>
      <w:pPr>
        <w:spacing w:after="0"/>
        <w:ind w:left="0"/>
        <w:jc w:val="both"/>
      </w:pPr>
      <w:r>
        <w:rPr>
          <w:rFonts w:ascii="Times New Roman"/>
          <w:b w:val="false"/>
          <w:i w:val="false"/>
          <w:color w:val="000000"/>
          <w:sz w:val="28"/>
        </w:rPr>
        <w:t>
      7) the details of the representative (patent attorney).</w:t>
      </w:r>
    </w:p>
    <w:p>
      <w:pPr>
        <w:spacing w:after="0"/>
        <w:ind w:left="0"/>
        <w:jc w:val="both"/>
      </w:pPr>
      <w:r>
        <w:rPr>
          <w:rFonts w:ascii="Times New Roman"/>
          <w:b w:val="false"/>
          <w:i w:val="false"/>
          <w:color w:val="000000"/>
          <w:sz w:val="28"/>
        </w:rPr>
        <w:t>
      These entries shall be preceded by the appropriate Internationally agreed Numbers for the Identification of (Bibliographic) Data (hereinafter referred to as INID) code as per the WIPO standard and shall be used for publication. The country code shall be entered as per the relevant WIPO standard.</w:t>
      </w:r>
    </w:p>
    <w:p>
      <w:pPr>
        <w:spacing w:after="0"/>
        <w:ind w:left="0"/>
        <w:jc w:val="both"/>
      </w:pPr>
      <w:r>
        <w:rPr>
          <w:rFonts w:ascii="Times New Roman"/>
          <w:b w:val="false"/>
          <w:i w:val="false"/>
          <w:color w:val="000000"/>
          <w:sz w:val="28"/>
        </w:rPr>
        <w:t>
      Data concerning registrations of geographical indications and appellations of origin of goods shall be published by the expert organisation after sending the extracts.</w:t>
      </w:r>
    </w:p>
    <w:p>
      <w:pPr>
        <w:spacing w:after="0"/>
        <w:ind w:left="0"/>
        <w:jc w:val="both"/>
      </w:pPr>
      <w:r>
        <w:rPr>
          <w:rFonts w:ascii="Times New Roman"/>
          <w:b w:val="false"/>
          <w:i w:val="false"/>
          <w:color w:val="000000"/>
          <w:sz w:val="28"/>
        </w:rPr>
        <w:t>
      Paragraph 1: Procedure for publishing data on amendments to the State Registers of Geographical Indications and Appellations of Origin of Goods</w:t>
      </w:r>
    </w:p>
    <w:p>
      <w:pPr>
        <w:spacing w:after="0"/>
        <w:ind w:left="0"/>
        <w:jc w:val="both"/>
      </w:pPr>
      <w:r>
        <w:rPr>
          <w:rFonts w:ascii="Times New Roman"/>
          <w:b w:val="false"/>
          <w:i w:val="false"/>
          <w:color w:val="000000"/>
          <w:sz w:val="28"/>
        </w:rPr>
        <w:t>
      12. Based on the amendments made in the State Registers, the following data shall be published weekly in the section “Khabarlama – Notifications” by the expert organisation:</w:t>
      </w:r>
    </w:p>
    <w:p>
      <w:pPr>
        <w:spacing w:after="0"/>
        <w:ind w:left="0"/>
        <w:jc w:val="both"/>
      </w:pPr>
      <w:r>
        <w:rPr>
          <w:rFonts w:ascii="Times New Roman"/>
          <w:b w:val="false"/>
          <w:i w:val="false"/>
          <w:color w:val="000000"/>
          <w:sz w:val="28"/>
        </w:rPr>
        <w:t>
      1) on the annulment of the registration of geographical indications and appellations of origin of goods:</w:t>
      </w:r>
    </w:p>
    <w:p>
      <w:pPr>
        <w:spacing w:after="0"/>
        <w:ind w:left="0"/>
        <w:jc w:val="both"/>
      </w:pPr>
      <w:r>
        <w:rPr>
          <w:rFonts w:ascii="Times New Roman"/>
          <w:b w:val="false"/>
          <w:i w:val="false"/>
          <w:color w:val="000000"/>
          <w:sz w:val="28"/>
        </w:rPr>
        <w:t>
      the geographical indications and (or) appellation of origin of goods;</w:t>
      </w:r>
    </w:p>
    <w:p>
      <w:pPr>
        <w:spacing w:after="0"/>
        <w:ind w:left="0"/>
        <w:jc w:val="both"/>
      </w:pPr>
      <w:r>
        <w:rPr>
          <w:rFonts w:ascii="Times New Roman"/>
          <w:b w:val="false"/>
          <w:i w:val="false"/>
          <w:color w:val="000000"/>
          <w:sz w:val="28"/>
        </w:rPr>
        <w:t>
      the registration number and the date;</w:t>
      </w:r>
    </w:p>
    <w:p>
      <w:pPr>
        <w:spacing w:after="0"/>
        <w:ind w:left="0"/>
        <w:jc w:val="both"/>
      </w:pPr>
      <w:r>
        <w:rPr>
          <w:rFonts w:ascii="Times New Roman"/>
          <w:b w:val="false"/>
          <w:i w:val="false"/>
          <w:color w:val="000000"/>
          <w:sz w:val="28"/>
        </w:rPr>
        <w:t>
      the owner's name;</w:t>
      </w:r>
    </w:p>
    <w:p>
      <w:pPr>
        <w:spacing w:after="0"/>
        <w:ind w:left="0"/>
        <w:jc w:val="both"/>
      </w:pPr>
      <w:r>
        <w:rPr>
          <w:rFonts w:ascii="Times New Roman"/>
          <w:b w:val="false"/>
          <w:i w:val="false"/>
          <w:color w:val="000000"/>
          <w:sz w:val="28"/>
        </w:rPr>
        <w:t>
      the date of termination;</w:t>
      </w:r>
    </w:p>
    <w:p>
      <w:pPr>
        <w:spacing w:after="0"/>
        <w:ind w:left="0"/>
        <w:jc w:val="both"/>
      </w:pPr>
      <w:r>
        <w:rPr>
          <w:rFonts w:ascii="Times New Roman"/>
          <w:b w:val="false"/>
          <w:i w:val="false"/>
          <w:color w:val="000000"/>
          <w:sz w:val="28"/>
        </w:rPr>
        <w:t>
      the ground for termination.</w:t>
      </w:r>
    </w:p>
    <w:p>
      <w:pPr>
        <w:spacing w:after="0"/>
        <w:ind w:left="0"/>
        <w:jc w:val="both"/>
      </w:pPr>
      <w:r>
        <w:rPr>
          <w:rFonts w:ascii="Times New Roman"/>
          <w:b w:val="false"/>
          <w:i w:val="false"/>
          <w:color w:val="000000"/>
          <w:sz w:val="28"/>
        </w:rPr>
        <w:t>
      2) on the termination of the registration of geographical indications and appellations of origin of goods at the owner's initiative:</w:t>
      </w:r>
    </w:p>
    <w:p>
      <w:pPr>
        <w:spacing w:after="0"/>
        <w:ind w:left="0"/>
        <w:jc w:val="both"/>
      </w:pPr>
      <w:r>
        <w:rPr>
          <w:rFonts w:ascii="Times New Roman"/>
          <w:b w:val="false"/>
          <w:i w:val="false"/>
          <w:color w:val="000000"/>
          <w:sz w:val="28"/>
        </w:rPr>
        <w:t>
      the geographical indications and (or) appellation of origin of goods;</w:t>
      </w:r>
    </w:p>
    <w:p>
      <w:pPr>
        <w:spacing w:after="0"/>
        <w:ind w:left="0"/>
        <w:jc w:val="both"/>
      </w:pPr>
      <w:r>
        <w:rPr>
          <w:rFonts w:ascii="Times New Roman"/>
          <w:b w:val="false"/>
          <w:i w:val="false"/>
          <w:color w:val="000000"/>
          <w:sz w:val="28"/>
        </w:rPr>
        <w:t>
      the number and date of registration;</w:t>
      </w:r>
    </w:p>
    <w:p>
      <w:pPr>
        <w:spacing w:after="0"/>
        <w:ind w:left="0"/>
        <w:jc w:val="both"/>
      </w:pPr>
      <w:r>
        <w:rPr>
          <w:rFonts w:ascii="Times New Roman"/>
          <w:b w:val="false"/>
          <w:i w:val="false"/>
          <w:color w:val="000000"/>
          <w:sz w:val="28"/>
        </w:rPr>
        <w:t>
      the owner's name;</w:t>
      </w:r>
    </w:p>
    <w:p>
      <w:pPr>
        <w:spacing w:after="0"/>
        <w:ind w:left="0"/>
        <w:jc w:val="both"/>
      </w:pPr>
      <w:r>
        <w:rPr>
          <w:rFonts w:ascii="Times New Roman"/>
          <w:b w:val="false"/>
          <w:i w:val="false"/>
          <w:color w:val="000000"/>
          <w:sz w:val="28"/>
        </w:rPr>
        <w:t>
      the date of termination;</w:t>
      </w:r>
    </w:p>
    <w:p>
      <w:pPr>
        <w:spacing w:after="0"/>
        <w:ind w:left="0"/>
        <w:jc w:val="both"/>
      </w:pPr>
      <w:r>
        <w:rPr>
          <w:rFonts w:ascii="Times New Roman"/>
          <w:b w:val="false"/>
          <w:i w:val="false"/>
          <w:color w:val="000000"/>
          <w:sz w:val="28"/>
        </w:rPr>
        <w:t>
      the ground for termination.</w:t>
      </w:r>
    </w:p>
    <w:p>
      <w:pPr>
        <w:spacing w:after="0"/>
        <w:ind w:left="0"/>
        <w:jc w:val="both"/>
      </w:pPr>
      <w:r>
        <w:rPr>
          <w:rFonts w:ascii="Times New Roman"/>
          <w:b w:val="false"/>
          <w:i w:val="false"/>
          <w:color w:val="000000"/>
          <w:sz w:val="28"/>
        </w:rPr>
        <w:t>
      3) on the renewal of the registration of geographical indications and appellations of origin of goods:</w:t>
      </w:r>
    </w:p>
    <w:p>
      <w:pPr>
        <w:spacing w:after="0"/>
        <w:ind w:left="0"/>
        <w:jc w:val="both"/>
      </w:pPr>
      <w:r>
        <w:rPr>
          <w:rFonts w:ascii="Times New Roman"/>
          <w:b w:val="false"/>
          <w:i w:val="false"/>
          <w:color w:val="000000"/>
          <w:sz w:val="28"/>
        </w:rPr>
        <w:t>
      the registration number;</w:t>
      </w:r>
    </w:p>
    <w:p>
      <w:pPr>
        <w:spacing w:after="0"/>
        <w:ind w:left="0"/>
        <w:jc w:val="both"/>
      </w:pPr>
      <w:r>
        <w:rPr>
          <w:rFonts w:ascii="Times New Roman"/>
          <w:b w:val="false"/>
          <w:i w:val="false"/>
          <w:color w:val="000000"/>
          <w:sz w:val="28"/>
        </w:rPr>
        <w:t>
      the owner's name;</w:t>
      </w:r>
    </w:p>
    <w:p>
      <w:pPr>
        <w:spacing w:after="0"/>
        <w:ind w:left="0"/>
        <w:jc w:val="both"/>
      </w:pPr>
      <w:r>
        <w:rPr>
          <w:rFonts w:ascii="Times New Roman"/>
          <w:b w:val="false"/>
          <w:i w:val="false"/>
          <w:color w:val="000000"/>
          <w:sz w:val="28"/>
        </w:rPr>
        <w:t>
      the date until which the registration is renewed.</w:t>
      </w:r>
    </w:p>
    <w:p>
      <w:pPr>
        <w:spacing w:after="0"/>
        <w:ind w:left="0"/>
        <w:jc w:val="both"/>
      </w:pPr>
      <w:r>
        <w:rPr>
          <w:rFonts w:ascii="Times New Roman"/>
          <w:b w:val="false"/>
          <w:i w:val="false"/>
          <w:color w:val="000000"/>
          <w:sz w:val="28"/>
        </w:rPr>
        <w:t>
      4) on the change of name of the owner - a legal entity due to its reorganisation (legal succession) and/or change of address of its location:</w:t>
      </w:r>
    </w:p>
    <w:p>
      <w:pPr>
        <w:spacing w:after="0"/>
        <w:ind w:left="0"/>
        <w:jc w:val="both"/>
      </w:pPr>
      <w:r>
        <w:rPr>
          <w:rFonts w:ascii="Times New Roman"/>
          <w:b w:val="false"/>
          <w:i w:val="false"/>
          <w:color w:val="000000"/>
          <w:sz w:val="28"/>
        </w:rPr>
        <w:t>
      the registration number;</w:t>
      </w:r>
    </w:p>
    <w:p>
      <w:pPr>
        <w:spacing w:after="0"/>
        <w:ind w:left="0"/>
        <w:jc w:val="both"/>
      </w:pPr>
      <w:r>
        <w:rPr>
          <w:rFonts w:ascii="Times New Roman"/>
          <w:b w:val="false"/>
          <w:i w:val="false"/>
          <w:color w:val="000000"/>
          <w:sz w:val="28"/>
        </w:rPr>
        <w:t>
      the new owner's name and/or address of the registered geographical indication and (or) appellation of origin of goods.</w:t>
      </w:r>
    </w:p>
    <w:p>
      <w:pPr>
        <w:spacing w:after="0"/>
        <w:ind w:left="0"/>
        <w:jc w:val="both"/>
      </w:pPr>
      <w:r>
        <w:rPr>
          <w:rFonts w:ascii="Times New Roman"/>
          <w:b w:val="false"/>
          <w:i w:val="false"/>
          <w:color w:val="000000"/>
          <w:sz w:val="28"/>
        </w:rPr>
        <w:t>
      5) on the change of the name of the owner - a natural person and/or on the change of his/her residential address:</w:t>
      </w:r>
    </w:p>
    <w:p>
      <w:pPr>
        <w:spacing w:after="0"/>
        <w:ind w:left="0"/>
        <w:jc w:val="both"/>
      </w:pPr>
      <w:r>
        <w:rPr>
          <w:rFonts w:ascii="Times New Roman"/>
          <w:b w:val="false"/>
          <w:i w:val="false"/>
          <w:color w:val="000000"/>
          <w:sz w:val="28"/>
        </w:rPr>
        <w:t>
      the registration number;</w:t>
      </w:r>
    </w:p>
    <w:p>
      <w:pPr>
        <w:spacing w:after="0"/>
        <w:ind w:left="0"/>
        <w:jc w:val="both"/>
      </w:pPr>
      <w:r>
        <w:rPr>
          <w:rFonts w:ascii="Times New Roman"/>
          <w:b w:val="false"/>
          <w:i w:val="false"/>
          <w:color w:val="000000"/>
          <w:sz w:val="28"/>
        </w:rPr>
        <w:t>
      the new name of the owner and/or address of the registered geographical indication and (or) appellation of origin of goods.</w:t>
      </w:r>
    </w:p>
    <w:p>
      <w:pPr>
        <w:spacing w:after="0"/>
        <w:ind w:left="0"/>
        <w:jc w:val="both"/>
      </w:pPr>
      <w:r>
        <w:rPr>
          <w:rFonts w:ascii="Times New Roman"/>
          <w:b w:val="false"/>
          <w:i w:val="false"/>
          <w:color w:val="000000"/>
          <w:sz w:val="28"/>
        </w:rPr>
        <w:t>
      6) on the correction of obvious and technical errors, as well as on other amendments concerning the registration of geographical indications and appellations of origin of goods:</w:t>
      </w:r>
    </w:p>
    <w:p>
      <w:pPr>
        <w:spacing w:after="0"/>
        <w:ind w:left="0"/>
        <w:jc w:val="both"/>
      </w:pPr>
      <w:r>
        <w:rPr>
          <w:rFonts w:ascii="Times New Roman"/>
          <w:b w:val="false"/>
          <w:i w:val="false"/>
          <w:color w:val="000000"/>
          <w:sz w:val="28"/>
        </w:rPr>
        <w:t>
      the registration number;</w:t>
      </w:r>
    </w:p>
    <w:p>
      <w:pPr>
        <w:spacing w:after="0"/>
        <w:ind w:left="0"/>
        <w:jc w:val="both"/>
      </w:pPr>
      <w:r>
        <w:rPr>
          <w:rFonts w:ascii="Times New Roman"/>
          <w:b w:val="false"/>
          <w:i w:val="false"/>
          <w:color w:val="000000"/>
          <w:sz w:val="28"/>
        </w:rPr>
        <w:t>
      the description of the corrected data.</w:t>
      </w:r>
    </w:p>
    <w:p>
      <w:pPr>
        <w:spacing w:after="0"/>
        <w:ind w:left="0"/>
        <w:jc w:val="both"/>
      </w:pPr>
      <w:r>
        <w:rPr>
          <w:rFonts w:ascii="Times New Roman"/>
          <w:b w:val="false"/>
          <w:i w:val="false"/>
          <w:color w:val="000000"/>
          <w:sz w:val="28"/>
        </w:rPr>
        <w:t>
      Data related to the registration of geographical indications and appellations of origin of goods and granting the right to use geographical indications and appellations of origin of goods, as well as subsequent amendments, shall be published by the expert organisation in the Bulletin immediately after their entry in the relevant State Registers. Data concerning the introduction of amendments to the State Register of Geographical Indications, the State Register of Appellations of Origin of Goods shall be published by the expert organisation after sending the relevant notification.</w:t>
      </w:r>
    </w:p>
    <w:p>
      <w:pPr>
        <w:spacing w:after="0"/>
        <w:ind w:left="0"/>
        <w:jc w:val="both"/>
      </w:pPr>
      <w:r>
        <w:rPr>
          <w:rFonts w:ascii="Times New Roman"/>
          <w:b w:val="false"/>
          <w:i w:val="false"/>
          <w:color w:val="000000"/>
          <w:sz w:val="28"/>
        </w:rPr>
        <w:t>
      Paragraph 2: Procedure for publishing data on the extension of the term of validity of the right to use a geographical indication and appellation of origin of goods</w:t>
      </w:r>
    </w:p>
    <w:p>
      <w:pPr>
        <w:spacing w:after="0"/>
        <w:ind w:left="0"/>
        <w:jc w:val="both"/>
      </w:pPr>
      <w:r>
        <w:rPr>
          <w:rFonts w:ascii="Times New Roman"/>
          <w:b w:val="false"/>
          <w:i w:val="false"/>
          <w:color w:val="000000"/>
          <w:sz w:val="28"/>
        </w:rPr>
        <w:t>
      13. Data on the extension of the term of validity of the right to use the geographical indication and appellation of origin of goods shall be published weekly by the expert organisation in the section “Khabarlama – Notifications” in the Kazakh and Russian languages, with the following data indicated:</w:t>
      </w:r>
    </w:p>
    <w:p>
      <w:pPr>
        <w:spacing w:after="0"/>
        <w:ind w:left="0"/>
        <w:jc w:val="both"/>
      </w:pPr>
      <w:r>
        <w:rPr>
          <w:rFonts w:ascii="Times New Roman"/>
          <w:b w:val="false"/>
          <w:i w:val="false"/>
          <w:color w:val="000000"/>
          <w:sz w:val="28"/>
        </w:rPr>
        <w:t>
      1) the registration number;</w:t>
      </w:r>
    </w:p>
    <w:p>
      <w:pPr>
        <w:spacing w:after="0"/>
        <w:ind w:left="0"/>
        <w:jc w:val="both"/>
      </w:pPr>
      <w:r>
        <w:rPr>
          <w:rFonts w:ascii="Times New Roman"/>
          <w:b w:val="false"/>
          <w:i w:val="false"/>
          <w:color w:val="000000"/>
          <w:sz w:val="28"/>
        </w:rPr>
        <w:t>
      2) the owner's name;</w:t>
      </w:r>
    </w:p>
    <w:p>
      <w:pPr>
        <w:spacing w:after="0"/>
        <w:ind w:left="0"/>
        <w:jc w:val="both"/>
      </w:pPr>
      <w:r>
        <w:rPr>
          <w:rFonts w:ascii="Times New Roman"/>
          <w:b w:val="false"/>
          <w:i w:val="false"/>
          <w:color w:val="000000"/>
          <w:sz w:val="28"/>
        </w:rPr>
        <w:t>
      3) the date until which the registration is renewed.</w:t>
      </w:r>
    </w:p>
    <w:p>
      <w:pPr>
        <w:spacing w:after="0"/>
        <w:ind w:left="0"/>
        <w:jc w:val="both"/>
      </w:pPr>
      <w:r>
        <w:rPr>
          <w:rFonts w:ascii="Times New Roman"/>
          <w:b w:val="false"/>
          <w:i w:val="false"/>
          <w:color w:val="000000"/>
          <w:sz w:val="28"/>
        </w:rPr>
        <w:t>
      Data concerning the extension of the term of validity of the right to use a geographical indication and the appellation of origin of goods shall be published by the expert organisation after the relevant notification has been sent to it.</w:t>
      </w:r>
    </w:p>
    <w:p>
      <w:pPr>
        <w:spacing w:after="0"/>
        <w:ind w:left="0"/>
        <w:jc w:val="both"/>
      </w:pPr>
      <w:r>
        <w:rPr>
          <w:rFonts w:ascii="Times New Roman"/>
          <w:b w:val="false"/>
          <w:i w:val="false"/>
          <w:color w:val="000000"/>
          <w:sz w:val="28"/>
        </w:rPr>
        <w:t>
      Paragraph 3: Procedure for publishing data on the termination of the right to use a geographical indication and appellation of origin of goods</w:t>
      </w:r>
    </w:p>
    <w:p>
      <w:pPr>
        <w:spacing w:after="0"/>
        <w:ind w:left="0"/>
        <w:jc w:val="both"/>
      </w:pPr>
      <w:r>
        <w:rPr>
          <w:rFonts w:ascii="Times New Roman"/>
          <w:b w:val="false"/>
          <w:i w:val="false"/>
          <w:color w:val="000000"/>
          <w:sz w:val="28"/>
        </w:rPr>
        <w:t>
      14. Data on the termination of the right to use the geographical indication and appellation of origin of goods shall be published weekly by the expert organisation in the section “Khabarlama – Notifications” in the Kazakh and Russian languages, with the following data indicated:</w:t>
      </w:r>
    </w:p>
    <w:p>
      <w:pPr>
        <w:spacing w:after="0"/>
        <w:ind w:left="0"/>
        <w:jc w:val="both"/>
      </w:pPr>
      <w:r>
        <w:rPr>
          <w:rFonts w:ascii="Times New Roman"/>
          <w:b w:val="false"/>
          <w:i w:val="false"/>
          <w:color w:val="000000"/>
          <w:sz w:val="28"/>
        </w:rPr>
        <w:t>
      1) the registration number (application number, date of submission);</w:t>
      </w:r>
    </w:p>
    <w:p>
      <w:pPr>
        <w:spacing w:after="0"/>
        <w:ind w:left="0"/>
        <w:jc w:val="both"/>
      </w:pPr>
      <w:r>
        <w:rPr>
          <w:rFonts w:ascii="Times New Roman"/>
          <w:b w:val="false"/>
          <w:i w:val="false"/>
          <w:color w:val="000000"/>
          <w:sz w:val="28"/>
        </w:rPr>
        <w:t>
      2) the name;</w:t>
      </w:r>
    </w:p>
    <w:p>
      <w:pPr>
        <w:spacing w:after="0"/>
        <w:ind w:left="0"/>
        <w:jc w:val="both"/>
      </w:pPr>
      <w:r>
        <w:rPr>
          <w:rFonts w:ascii="Times New Roman"/>
          <w:b w:val="false"/>
          <w:i w:val="false"/>
          <w:color w:val="000000"/>
          <w:sz w:val="28"/>
        </w:rPr>
        <w:t>
      3) the owner's name;</w:t>
      </w:r>
    </w:p>
    <w:p>
      <w:pPr>
        <w:spacing w:after="0"/>
        <w:ind w:left="0"/>
        <w:jc w:val="both"/>
      </w:pPr>
      <w:r>
        <w:rPr>
          <w:rFonts w:ascii="Times New Roman"/>
          <w:b w:val="false"/>
          <w:i w:val="false"/>
          <w:color w:val="000000"/>
          <w:sz w:val="28"/>
        </w:rPr>
        <w:t>
      4) the date of termination;</w:t>
      </w:r>
    </w:p>
    <w:p>
      <w:pPr>
        <w:spacing w:after="0"/>
        <w:ind w:left="0"/>
        <w:jc w:val="both"/>
      </w:pPr>
      <w:r>
        <w:rPr>
          <w:rFonts w:ascii="Times New Roman"/>
          <w:b w:val="false"/>
          <w:i w:val="false"/>
          <w:color w:val="000000"/>
          <w:sz w:val="28"/>
        </w:rPr>
        <w:t>
      5) the ground for termination.</w:t>
      </w:r>
    </w:p>
    <w:p>
      <w:pPr>
        <w:spacing w:after="0"/>
        <w:ind w:left="0"/>
        <w:jc w:val="both"/>
      </w:pPr>
      <w:r>
        <w:rPr>
          <w:rFonts w:ascii="Times New Roman"/>
          <w:b w:val="false"/>
          <w:i w:val="false"/>
          <w:color w:val="000000"/>
          <w:sz w:val="28"/>
        </w:rPr>
        <w:t>
      Data concerning the termination of the right to use a geographical indication and appellation of origin of goods shall be published by the expert organisation after sending the relevant notification.</w:t>
      </w:r>
    </w:p>
    <w:p>
      <w:pPr>
        <w:spacing w:after="0"/>
        <w:ind w:left="0"/>
        <w:jc w:val="both"/>
      </w:pPr>
      <w:r>
        <w:rPr>
          <w:rFonts w:ascii="Times New Roman"/>
          <w:b w:val="false"/>
          <w:i w:val="false"/>
          <w:color w:val="000000"/>
          <w:sz w:val="28"/>
        </w:rPr>
        <w:t>
      Paragraph 4. Procedure for publishing data on early termination, annulment and cancellation of the term of validity of the right to use a geographical indication and appellation of origin of goods</w:t>
      </w:r>
    </w:p>
    <w:p>
      <w:pPr>
        <w:spacing w:after="0"/>
        <w:ind w:left="0"/>
        <w:jc w:val="both"/>
      </w:pPr>
      <w:r>
        <w:rPr>
          <w:rFonts w:ascii="Times New Roman"/>
          <w:b w:val="false"/>
          <w:i w:val="false"/>
          <w:color w:val="000000"/>
          <w:sz w:val="28"/>
        </w:rPr>
        <w:t>
      15. Data on cancellation of the term of validity of the right to use a geographical indication and appellation of origin of goods shall be published weekly by the expert organisation in the section “Khabarlama – Notifications” in the Kazakh and Russian languages, with the following data included:</w:t>
      </w:r>
    </w:p>
    <w:p>
      <w:pPr>
        <w:spacing w:after="0"/>
        <w:ind w:left="0"/>
        <w:jc w:val="both"/>
      </w:pPr>
      <w:r>
        <w:rPr>
          <w:rFonts w:ascii="Times New Roman"/>
          <w:b w:val="false"/>
          <w:i w:val="false"/>
          <w:color w:val="000000"/>
          <w:sz w:val="28"/>
        </w:rPr>
        <w:t>
      1) the registration number (application number, date of submission);</w:t>
      </w:r>
    </w:p>
    <w:p>
      <w:pPr>
        <w:spacing w:after="0"/>
        <w:ind w:left="0"/>
        <w:jc w:val="both"/>
      </w:pPr>
      <w:r>
        <w:rPr>
          <w:rFonts w:ascii="Times New Roman"/>
          <w:b w:val="false"/>
          <w:i w:val="false"/>
          <w:color w:val="000000"/>
          <w:sz w:val="28"/>
        </w:rPr>
        <w:t>
      2) the name;</w:t>
      </w:r>
    </w:p>
    <w:p>
      <w:pPr>
        <w:spacing w:after="0"/>
        <w:ind w:left="0"/>
        <w:jc w:val="both"/>
      </w:pPr>
      <w:r>
        <w:rPr>
          <w:rFonts w:ascii="Times New Roman"/>
          <w:b w:val="false"/>
          <w:i w:val="false"/>
          <w:color w:val="000000"/>
          <w:sz w:val="28"/>
        </w:rPr>
        <w:t>
      3) the name of the owner;</w:t>
      </w:r>
    </w:p>
    <w:p>
      <w:pPr>
        <w:spacing w:after="0"/>
        <w:ind w:left="0"/>
        <w:jc w:val="both"/>
      </w:pPr>
      <w:r>
        <w:rPr>
          <w:rFonts w:ascii="Times New Roman"/>
          <w:b w:val="false"/>
          <w:i w:val="false"/>
          <w:color w:val="000000"/>
          <w:sz w:val="28"/>
        </w:rPr>
        <w:t>
      4) the date of early termination, invalidation and cancellation;</w:t>
      </w:r>
    </w:p>
    <w:p>
      <w:pPr>
        <w:spacing w:after="0"/>
        <w:ind w:left="0"/>
        <w:jc w:val="both"/>
      </w:pPr>
      <w:r>
        <w:rPr>
          <w:rFonts w:ascii="Times New Roman"/>
          <w:b w:val="false"/>
          <w:i w:val="false"/>
          <w:color w:val="000000"/>
          <w:sz w:val="28"/>
        </w:rPr>
        <w:t>
      5) ground for early termination, annulment and cancellation.</w:t>
      </w:r>
    </w:p>
    <w:p>
      <w:pPr>
        <w:spacing w:after="0"/>
        <w:ind w:left="0"/>
        <w:jc w:val="both"/>
      </w:pPr>
      <w:r>
        <w:rPr>
          <w:rFonts w:ascii="Times New Roman"/>
          <w:b w:val="false"/>
          <w:i w:val="false"/>
          <w:color w:val="000000"/>
          <w:sz w:val="28"/>
        </w:rPr>
        <w:t>
      Data concerning the annulment of the term of validity of the right to use a geographical indication and the appellation of origin of goods shall be published by the expert organisation after the relevant notification has been sent.</w:t>
      </w:r>
    </w:p>
    <w:p>
      <w:pPr>
        <w:spacing w:after="0"/>
        <w:ind w:left="0"/>
        <w:jc w:val="left"/>
      </w:pPr>
      <w:r>
        <w:rPr>
          <w:rFonts w:ascii="Times New Roman"/>
          <w:b/>
          <w:i w:val="false"/>
          <w:color w:val="000000"/>
        </w:rPr>
        <w:t xml:space="preserve"> Chapter 5. The order for publishing information relating to well-known trademarks in the bulletin </w:t>
      </w:r>
    </w:p>
    <w:p>
      <w:pPr>
        <w:spacing w:after="0"/>
        <w:ind w:left="0"/>
        <w:jc w:val="both"/>
      </w:pPr>
      <w:r>
        <w:rPr>
          <w:rFonts w:ascii="Times New Roman"/>
          <w:b w:val="false"/>
          <w:i w:val="false"/>
          <w:color w:val="000000"/>
          <w:sz w:val="28"/>
        </w:rPr>
        <w:t xml:space="preserve">
      16. On the basis of recognition of a designation or a trademark as well-known, relevant information shall be entered into the State Register of Trademarks, which the expert organization shall publish weekly in Kazakh and Russian in the bulletin’s section “Тауар белгісін жалпы жұртқа белгiлi деп тану Tauar belgіsіn zhalpa zhұrtқa belgili depan tanu - Well-known trademarks”, indicating such data as: </w:t>
      </w:r>
    </w:p>
    <w:p>
      <w:pPr>
        <w:spacing w:after="0"/>
        <w:ind w:left="0"/>
        <w:jc w:val="both"/>
      </w:pPr>
      <w:r>
        <w:rPr>
          <w:rFonts w:ascii="Times New Roman"/>
          <w:b w:val="false"/>
          <w:i w:val="false"/>
          <w:color w:val="000000"/>
          <w:sz w:val="28"/>
        </w:rPr>
        <w:t>
      1) the ordinal registration number;</w:t>
      </w:r>
    </w:p>
    <w:p>
      <w:pPr>
        <w:spacing w:after="0"/>
        <w:ind w:left="0"/>
        <w:jc w:val="both"/>
      </w:pPr>
      <w:r>
        <w:rPr>
          <w:rFonts w:ascii="Times New Roman"/>
          <w:b w:val="false"/>
          <w:i w:val="false"/>
          <w:color w:val="000000"/>
          <w:sz w:val="28"/>
        </w:rPr>
        <w:t>
      2) the registration date;</w:t>
      </w:r>
    </w:p>
    <w:p>
      <w:pPr>
        <w:spacing w:after="0"/>
        <w:ind w:left="0"/>
        <w:jc w:val="both"/>
      </w:pPr>
      <w:r>
        <w:rPr>
          <w:rFonts w:ascii="Times New Roman"/>
          <w:b w:val="false"/>
          <w:i w:val="false"/>
          <w:color w:val="000000"/>
          <w:sz w:val="28"/>
        </w:rPr>
        <w:t>
      3) the image of a well-known trademark;</w:t>
      </w:r>
    </w:p>
    <w:p>
      <w:pPr>
        <w:spacing w:after="0"/>
        <w:ind w:left="0"/>
        <w:jc w:val="both"/>
      </w:pPr>
      <w:r>
        <w:rPr>
          <w:rFonts w:ascii="Times New Roman"/>
          <w:b w:val="false"/>
          <w:i w:val="false"/>
          <w:color w:val="000000"/>
          <w:sz w:val="28"/>
        </w:rPr>
        <w:t xml:space="preserve">
      4) indication of colors; </w:t>
      </w:r>
    </w:p>
    <w:p>
      <w:pPr>
        <w:spacing w:after="0"/>
        <w:ind w:left="0"/>
        <w:jc w:val="both"/>
      </w:pPr>
      <w:r>
        <w:rPr>
          <w:rFonts w:ascii="Times New Roman"/>
          <w:b w:val="false"/>
          <w:i w:val="false"/>
          <w:color w:val="000000"/>
          <w:sz w:val="28"/>
        </w:rPr>
        <w:t>
      5) the name of the owner of the well-known trademark;</w:t>
      </w:r>
    </w:p>
    <w:p>
      <w:pPr>
        <w:spacing w:after="0"/>
        <w:ind w:left="0"/>
        <w:jc w:val="both"/>
      </w:pPr>
      <w:r>
        <w:rPr>
          <w:rFonts w:ascii="Times New Roman"/>
          <w:b w:val="false"/>
          <w:i w:val="false"/>
          <w:color w:val="000000"/>
          <w:sz w:val="28"/>
        </w:rPr>
        <w:t>
      6) the application's number;</w:t>
      </w:r>
    </w:p>
    <w:p>
      <w:pPr>
        <w:spacing w:after="0"/>
        <w:ind w:left="0"/>
        <w:jc w:val="both"/>
      </w:pPr>
      <w:r>
        <w:rPr>
          <w:rFonts w:ascii="Times New Roman"/>
          <w:b w:val="false"/>
          <w:i w:val="false"/>
          <w:color w:val="000000"/>
          <w:sz w:val="28"/>
        </w:rPr>
        <w:t>
      7) the date of filing the application;</w:t>
      </w:r>
    </w:p>
    <w:p>
      <w:pPr>
        <w:spacing w:after="0"/>
        <w:ind w:left="0"/>
        <w:jc w:val="both"/>
      </w:pPr>
      <w:r>
        <w:rPr>
          <w:rFonts w:ascii="Times New Roman"/>
          <w:b w:val="false"/>
          <w:i w:val="false"/>
          <w:color w:val="000000"/>
          <w:sz w:val="28"/>
        </w:rPr>
        <w:t>
      8) the period of registration;</w:t>
      </w:r>
    </w:p>
    <w:p>
      <w:pPr>
        <w:spacing w:after="0"/>
        <w:ind w:left="0"/>
        <w:jc w:val="both"/>
      </w:pPr>
      <w:r>
        <w:rPr>
          <w:rFonts w:ascii="Times New Roman"/>
          <w:b w:val="false"/>
          <w:i w:val="false"/>
          <w:color w:val="000000"/>
          <w:sz w:val="28"/>
        </w:rPr>
        <w:t xml:space="preserve">
      9) the list of goods and services in respect of which a well-known trademark was registered. </w:t>
      </w:r>
    </w:p>
    <w:p>
      <w:pPr>
        <w:spacing w:after="0"/>
        <w:ind w:left="0"/>
        <w:jc w:val="both"/>
      </w:pPr>
      <w:r>
        <w:rPr>
          <w:rFonts w:ascii="Times New Roman"/>
          <w:b w:val="false"/>
          <w:i w:val="false"/>
          <w:color w:val="000000"/>
          <w:sz w:val="28"/>
        </w:rPr>
        <w:t>
      Information relating to the recognition of a designation or a trademark as well-known shall be published by the expert organization after sending a relevant notification.</w:t>
      </w:r>
    </w:p>
    <w:p>
      <w:pPr>
        <w:spacing w:after="0"/>
        <w:ind w:left="0"/>
        <w:jc w:val="both"/>
      </w:pPr>
      <w:r>
        <w:rPr>
          <w:rFonts w:ascii="Times New Roman"/>
          <w:b w:val="false"/>
          <w:i w:val="false"/>
          <w:color w:val="000000"/>
          <w:sz w:val="28"/>
        </w:rPr>
        <w:t>
      Clause 1. The order for publishing information on the extension of the validity of a well-known trademark</w:t>
      </w:r>
    </w:p>
    <w:p>
      <w:pPr>
        <w:spacing w:after="0"/>
        <w:ind w:left="0"/>
        <w:jc w:val="both"/>
      </w:pPr>
      <w:r>
        <w:rPr>
          <w:rFonts w:ascii="Times New Roman"/>
          <w:b w:val="false"/>
          <w:i w:val="false"/>
          <w:color w:val="000000"/>
          <w:sz w:val="28"/>
        </w:rPr>
        <w:t xml:space="preserve">
      17. The expert organization shall publish information on the extension of validity of a well-known trademark weekly in Kazakh and Russian in the “Notices” section, indicating such data as: </w:t>
      </w:r>
    </w:p>
    <w:p>
      <w:pPr>
        <w:spacing w:after="0"/>
        <w:ind w:left="0"/>
        <w:jc w:val="both"/>
      </w:pPr>
      <w:r>
        <w:rPr>
          <w:rFonts w:ascii="Times New Roman"/>
          <w:b w:val="false"/>
          <w:i w:val="false"/>
          <w:color w:val="000000"/>
          <w:sz w:val="28"/>
        </w:rPr>
        <w:t>
      1) the registration number;</w:t>
      </w:r>
    </w:p>
    <w:p>
      <w:pPr>
        <w:spacing w:after="0"/>
        <w:ind w:left="0"/>
        <w:jc w:val="both"/>
      </w:pPr>
      <w:r>
        <w:rPr>
          <w:rFonts w:ascii="Times New Roman"/>
          <w:b w:val="false"/>
          <w:i w:val="false"/>
          <w:color w:val="000000"/>
          <w:sz w:val="28"/>
        </w:rPr>
        <w:t xml:space="preserve">
      2) the owner’s name; </w:t>
      </w:r>
    </w:p>
    <w:p>
      <w:pPr>
        <w:spacing w:after="0"/>
        <w:ind w:left="0"/>
        <w:jc w:val="both"/>
      </w:pPr>
      <w:r>
        <w:rPr>
          <w:rFonts w:ascii="Times New Roman"/>
          <w:b w:val="false"/>
          <w:i w:val="false"/>
          <w:color w:val="000000"/>
          <w:sz w:val="28"/>
        </w:rPr>
        <w:t xml:space="preserve">
      3) the date until which the registration has been extended. </w:t>
      </w:r>
    </w:p>
    <w:p>
      <w:pPr>
        <w:spacing w:after="0"/>
        <w:ind w:left="0"/>
        <w:jc w:val="both"/>
      </w:pPr>
      <w:r>
        <w:rPr>
          <w:rFonts w:ascii="Times New Roman"/>
          <w:b w:val="false"/>
          <w:i w:val="false"/>
          <w:color w:val="000000"/>
          <w:sz w:val="28"/>
        </w:rPr>
        <w:t>
      Information relating to the extension of validity of a well-known trademark shall be published by the expert organization after sending a relevant notification.</w:t>
      </w:r>
    </w:p>
    <w:p>
      <w:pPr>
        <w:spacing w:after="0"/>
        <w:ind w:left="0"/>
        <w:jc w:val="both"/>
      </w:pPr>
      <w:r>
        <w:rPr>
          <w:rFonts w:ascii="Times New Roman"/>
          <w:b w:val="false"/>
          <w:i w:val="false"/>
          <w:color w:val="000000"/>
          <w:sz w:val="28"/>
        </w:rPr>
        <w:t>
      Clause 2. The order for publishing information on early termination, invalidation and cancellation of the validity of a well-known trademark</w:t>
      </w:r>
    </w:p>
    <w:p>
      <w:pPr>
        <w:spacing w:after="0"/>
        <w:ind w:left="0"/>
        <w:jc w:val="both"/>
      </w:pPr>
      <w:r>
        <w:rPr>
          <w:rFonts w:ascii="Times New Roman"/>
          <w:b w:val="false"/>
          <w:i w:val="false"/>
          <w:color w:val="000000"/>
          <w:sz w:val="28"/>
        </w:rPr>
        <w:t xml:space="preserve">
      18. The expert organization shall weekly publish information on the termination of validity of a well-known trademark in Kazakh and Russian in the “Notices” section, indicating such data as: </w:t>
      </w:r>
    </w:p>
    <w:p>
      <w:pPr>
        <w:spacing w:after="0"/>
        <w:ind w:left="0"/>
        <w:jc w:val="both"/>
      </w:pPr>
      <w:r>
        <w:rPr>
          <w:rFonts w:ascii="Times New Roman"/>
          <w:b w:val="false"/>
          <w:i w:val="false"/>
          <w:color w:val="000000"/>
          <w:sz w:val="28"/>
        </w:rPr>
        <w:t>
      1) the registration number (the application's number, the filing date);</w:t>
      </w:r>
    </w:p>
    <w:p>
      <w:pPr>
        <w:spacing w:after="0"/>
        <w:ind w:left="0"/>
        <w:jc w:val="both"/>
      </w:pPr>
      <w:r>
        <w:rPr>
          <w:rFonts w:ascii="Times New Roman"/>
          <w:b w:val="false"/>
          <w:i w:val="false"/>
          <w:color w:val="000000"/>
          <w:sz w:val="28"/>
        </w:rPr>
        <w:t>
      2) the name;</w:t>
      </w:r>
    </w:p>
    <w:p>
      <w:pPr>
        <w:spacing w:after="0"/>
        <w:ind w:left="0"/>
        <w:jc w:val="both"/>
      </w:pPr>
      <w:r>
        <w:rPr>
          <w:rFonts w:ascii="Times New Roman"/>
          <w:b w:val="false"/>
          <w:i w:val="false"/>
          <w:color w:val="000000"/>
          <w:sz w:val="28"/>
        </w:rPr>
        <w:t>
      3) the owner’s name;</w:t>
      </w:r>
    </w:p>
    <w:p>
      <w:pPr>
        <w:spacing w:after="0"/>
        <w:ind w:left="0"/>
        <w:jc w:val="both"/>
      </w:pPr>
      <w:r>
        <w:rPr>
          <w:rFonts w:ascii="Times New Roman"/>
          <w:b w:val="false"/>
          <w:i w:val="false"/>
          <w:color w:val="000000"/>
          <w:sz w:val="28"/>
        </w:rPr>
        <w:t xml:space="preserve">
      4) the date of early termination, invalidation and cancellation; </w:t>
      </w:r>
    </w:p>
    <w:p>
      <w:pPr>
        <w:spacing w:after="0"/>
        <w:ind w:left="0"/>
        <w:jc w:val="both"/>
      </w:pPr>
      <w:r>
        <w:rPr>
          <w:rFonts w:ascii="Times New Roman"/>
          <w:b w:val="false"/>
          <w:i w:val="false"/>
          <w:color w:val="000000"/>
          <w:sz w:val="28"/>
        </w:rPr>
        <w:t xml:space="preserve">
      5) the reason for early termination, invalidation and cancellation. </w:t>
      </w:r>
    </w:p>
    <w:p>
      <w:pPr>
        <w:spacing w:after="0"/>
        <w:ind w:left="0"/>
        <w:jc w:val="both"/>
      </w:pPr>
      <w:r>
        <w:rPr>
          <w:rFonts w:ascii="Times New Roman"/>
          <w:b w:val="false"/>
          <w:i w:val="false"/>
          <w:color w:val="000000"/>
          <w:sz w:val="28"/>
        </w:rPr>
        <w:t>
      Clause 3. The order for publishing information relating to a selection achievement in the bulletin</w:t>
      </w:r>
    </w:p>
    <w:p>
      <w:pPr>
        <w:spacing w:after="0"/>
        <w:ind w:left="0"/>
        <w:jc w:val="both"/>
      </w:pPr>
      <w:r>
        <w:rPr>
          <w:rFonts w:ascii="Times New Roman"/>
          <w:b w:val="false"/>
          <w:i w:val="false"/>
          <w:color w:val="000000"/>
          <w:sz w:val="28"/>
        </w:rPr>
        <w:t xml:space="preserve">
      19. On the basis of the registration in the State Register of Selection Achievements, the expert organization shall weekly publish information on the registration in Kazakh and Russian in the bulletin’s section “Селекциалық жетістіктер – Selection Achievement”. </w:t>
      </w:r>
    </w:p>
    <w:p>
      <w:pPr>
        <w:spacing w:after="0"/>
        <w:ind w:left="0"/>
        <w:jc w:val="both"/>
      </w:pPr>
      <w:r>
        <w:rPr>
          <w:rFonts w:ascii="Times New Roman"/>
          <w:b w:val="false"/>
          <w:i w:val="false"/>
          <w:color w:val="000000"/>
          <w:sz w:val="28"/>
        </w:rPr>
        <w:t>
      It is necessary to enter in the official bulletin of selection achievements such data as:</w:t>
      </w:r>
    </w:p>
    <w:p>
      <w:pPr>
        <w:spacing w:after="0"/>
        <w:ind w:left="0"/>
        <w:jc w:val="both"/>
      </w:pPr>
      <w:r>
        <w:rPr>
          <w:rFonts w:ascii="Times New Roman"/>
          <w:b w:val="false"/>
          <w:i w:val="false"/>
          <w:color w:val="000000"/>
          <w:sz w:val="28"/>
        </w:rPr>
        <w:t>
      1) the code or other means of identification of the agency or the organization that carried out the publication;</w:t>
      </w:r>
    </w:p>
    <w:p>
      <w:pPr>
        <w:spacing w:after="0"/>
        <w:ind w:left="0"/>
        <w:jc w:val="both"/>
      </w:pPr>
      <w:r>
        <w:rPr>
          <w:rFonts w:ascii="Times New Roman"/>
          <w:b w:val="false"/>
          <w:i w:val="false"/>
          <w:color w:val="000000"/>
          <w:sz w:val="28"/>
        </w:rPr>
        <w:t>
      2) verbal designation of the type of the document;</w:t>
      </w:r>
    </w:p>
    <w:p>
      <w:pPr>
        <w:spacing w:after="0"/>
        <w:ind w:left="0"/>
        <w:jc w:val="both"/>
      </w:pPr>
      <w:r>
        <w:rPr>
          <w:rFonts w:ascii="Times New Roman"/>
          <w:b w:val="false"/>
          <w:i w:val="false"/>
          <w:color w:val="000000"/>
          <w:sz w:val="28"/>
        </w:rPr>
        <w:t>
      3) the patent number;</w:t>
      </w:r>
    </w:p>
    <w:p>
      <w:pPr>
        <w:spacing w:after="0"/>
        <w:ind w:left="0"/>
        <w:jc w:val="both"/>
      </w:pPr>
      <w:r>
        <w:rPr>
          <w:rFonts w:ascii="Times New Roman"/>
          <w:b w:val="false"/>
          <w:i w:val="false"/>
          <w:color w:val="000000"/>
          <w:sz w:val="28"/>
        </w:rPr>
        <w:t>
      4) the genus, species of plant, animal, the name of variety, breed;</w:t>
      </w:r>
    </w:p>
    <w:p>
      <w:pPr>
        <w:spacing w:after="0"/>
        <w:ind w:left="0"/>
        <w:jc w:val="both"/>
      </w:pPr>
      <w:r>
        <w:rPr>
          <w:rFonts w:ascii="Times New Roman"/>
          <w:b w:val="false"/>
          <w:i w:val="false"/>
          <w:color w:val="000000"/>
          <w:sz w:val="28"/>
        </w:rPr>
        <w:t>
      5) the patent owner’s personal or business name and his/her/its address with the indication of the code of the country of residence or location address in accordance with the WIPO standard;</w:t>
      </w:r>
    </w:p>
    <w:p>
      <w:pPr>
        <w:spacing w:after="0"/>
        <w:ind w:left="0"/>
        <w:jc w:val="both"/>
      </w:pPr>
      <w:r>
        <w:rPr>
          <w:rFonts w:ascii="Times New Roman"/>
          <w:b w:val="false"/>
          <w:i w:val="false"/>
          <w:color w:val="000000"/>
          <w:sz w:val="28"/>
        </w:rPr>
        <w:t>
      6) the name of the author (authors) and the code of the country of his/her (their) residence address in accordance with the WIPO standard;</w:t>
      </w:r>
    </w:p>
    <w:p>
      <w:pPr>
        <w:spacing w:after="0"/>
        <w:ind w:left="0"/>
        <w:jc w:val="both"/>
      </w:pPr>
      <w:r>
        <w:rPr>
          <w:rFonts w:ascii="Times New Roman"/>
          <w:b w:val="false"/>
          <w:i w:val="false"/>
          <w:color w:val="000000"/>
          <w:sz w:val="28"/>
        </w:rPr>
        <w:t xml:space="preserve">
      7) the registration number and the application’s filing date; </w:t>
      </w:r>
    </w:p>
    <w:p>
      <w:pPr>
        <w:spacing w:after="0"/>
        <w:ind w:left="0"/>
        <w:jc w:val="both"/>
      </w:pPr>
      <w:r>
        <w:rPr>
          <w:rFonts w:ascii="Times New Roman"/>
          <w:b w:val="false"/>
          <w:i w:val="false"/>
          <w:color w:val="000000"/>
          <w:sz w:val="28"/>
        </w:rPr>
        <w:t>
      8) the date of filing the application, on the basis of which the patent was issued;</w:t>
      </w:r>
    </w:p>
    <w:p>
      <w:pPr>
        <w:spacing w:after="0"/>
        <w:ind w:left="0"/>
        <w:jc w:val="both"/>
      </w:pPr>
      <w:r>
        <w:rPr>
          <w:rFonts w:ascii="Times New Roman"/>
          <w:b w:val="false"/>
          <w:i w:val="false"/>
          <w:color w:val="000000"/>
          <w:sz w:val="28"/>
        </w:rPr>
        <w:t xml:space="preserve">
      9) a set of characteristics included in the description of the variety, breed; </w:t>
      </w:r>
    </w:p>
    <w:p>
      <w:pPr>
        <w:spacing w:after="0"/>
        <w:ind w:left="0"/>
        <w:jc w:val="both"/>
      </w:pPr>
      <w:r>
        <w:rPr>
          <w:rFonts w:ascii="Times New Roman"/>
          <w:b w:val="false"/>
          <w:i w:val="false"/>
          <w:color w:val="000000"/>
          <w:sz w:val="28"/>
        </w:rPr>
        <w:t xml:space="preserve">
      10) the name of the selection achievement; (genus, species of plant, animal, the name of variety, breed); </w:t>
      </w:r>
    </w:p>
    <w:p>
      <w:pPr>
        <w:spacing w:after="0"/>
        <w:ind w:left="0"/>
        <w:jc w:val="both"/>
      </w:pPr>
      <w:r>
        <w:rPr>
          <w:rFonts w:ascii="Times New Roman"/>
          <w:b w:val="false"/>
          <w:i w:val="false"/>
          <w:color w:val="000000"/>
          <w:sz w:val="28"/>
        </w:rPr>
        <w:t xml:space="preserve">
      11) the last and first names, patronymic (if any) of the author (authors) and the country code in accordance with the WIPO standard; </w:t>
      </w:r>
    </w:p>
    <w:p>
      <w:pPr>
        <w:spacing w:after="0"/>
        <w:ind w:left="0"/>
        <w:jc w:val="both"/>
      </w:pPr>
      <w:r>
        <w:rPr>
          <w:rFonts w:ascii="Times New Roman"/>
          <w:b w:val="false"/>
          <w:i w:val="false"/>
          <w:color w:val="000000"/>
          <w:sz w:val="28"/>
        </w:rPr>
        <w:t xml:space="preserve">
      12) the last and first names, patronymic (if any) or the name of the patent owner indicating the country code in accordance with the WIPO standard; </w:t>
      </w:r>
    </w:p>
    <w:p>
      <w:pPr>
        <w:spacing w:after="0"/>
        <w:ind w:left="0"/>
        <w:jc w:val="both"/>
      </w:pPr>
      <w:r>
        <w:rPr>
          <w:rFonts w:ascii="Times New Roman"/>
          <w:b w:val="false"/>
          <w:i w:val="false"/>
          <w:color w:val="000000"/>
          <w:sz w:val="28"/>
        </w:rPr>
        <w:t>
      13) the application’s number, on the basis of which priority is claimed, (32) the date of filing the application, on the basis of which priority is claimed and (33) the code of the country of the first application in accordance with the WIPO standard, on the basis of which the selection achievement priority was established, if the application establishes earlier priority date than the date of filing the application with the expert organization.</w:t>
      </w:r>
    </w:p>
    <w:p>
      <w:pPr>
        <w:spacing w:after="0"/>
        <w:ind w:left="0"/>
        <w:jc w:val="both"/>
      </w:pPr>
      <w:r>
        <w:rPr>
          <w:rFonts w:ascii="Times New Roman"/>
          <w:b w:val="false"/>
          <w:i w:val="false"/>
          <w:color w:val="000000"/>
          <w:sz w:val="28"/>
        </w:rPr>
        <w:t>
      Information relating to the registration of a selection achievement in the official bulletin shall be published by the expert organization after sending the document of title.</w:t>
      </w:r>
    </w:p>
    <w:p>
      <w:pPr>
        <w:spacing w:after="0"/>
        <w:ind w:left="0"/>
        <w:jc w:val="both"/>
      </w:pPr>
      <w:r>
        <w:rPr>
          <w:rFonts w:ascii="Times New Roman"/>
          <w:b w:val="false"/>
          <w:i w:val="false"/>
          <w:color w:val="000000"/>
          <w:sz w:val="28"/>
        </w:rPr>
        <w:t>
      Clause 4. The order for publishing information on making changes to the State Register of Selection Achievements</w:t>
      </w:r>
    </w:p>
    <w:p>
      <w:pPr>
        <w:spacing w:after="0"/>
        <w:ind w:left="0"/>
        <w:jc w:val="both"/>
      </w:pPr>
      <w:r>
        <w:rPr>
          <w:rFonts w:ascii="Times New Roman"/>
          <w:b w:val="false"/>
          <w:i w:val="false"/>
          <w:color w:val="000000"/>
          <w:sz w:val="28"/>
        </w:rPr>
        <w:t xml:space="preserve">
      20. The State Register registers all changes in the legal status of a patent (including information on registered agreements), additions, clarifications or corrections relating to a patent, on the extension of validity and renewal of the patent, after it is recorded in the State Register, which the expert organization sends for publication in the official bulletin in the form of notices. </w:t>
      </w:r>
    </w:p>
    <w:p>
      <w:pPr>
        <w:spacing w:after="0"/>
        <w:ind w:left="0"/>
        <w:jc w:val="both"/>
      </w:pPr>
      <w:r>
        <w:rPr>
          <w:rFonts w:ascii="Times New Roman"/>
          <w:b w:val="false"/>
          <w:i w:val="false"/>
          <w:color w:val="000000"/>
          <w:sz w:val="28"/>
        </w:rPr>
        <w:t xml:space="preserve">
      It is necessary to publish in the State Register such changes as: </w:t>
      </w:r>
    </w:p>
    <w:p>
      <w:pPr>
        <w:spacing w:after="0"/>
        <w:ind w:left="0"/>
        <w:jc w:val="both"/>
      </w:pPr>
      <w:r>
        <w:rPr>
          <w:rFonts w:ascii="Times New Roman"/>
          <w:b w:val="false"/>
          <w:i w:val="false"/>
          <w:color w:val="000000"/>
          <w:sz w:val="28"/>
        </w:rPr>
        <w:t xml:space="preserve">
      1) on correction of obvious and technical errors in the entries of the State Register; </w:t>
      </w:r>
    </w:p>
    <w:p>
      <w:pPr>
        <w:spacing w:after="0"/>
        <w:ind w:left="0"/>
        <w:jc w:val="both"/>
      </w:pPr>
      <w:r>
        <w:rPr>
          <w:rFonts w:ascii="Times New Roman"/>
          <w:b w:val="false"/>
          <w:i w:val="false"/>
          <w:color w:val="000000"/>
          <w:sz w:val="28"/>
        </w:rPr>
        <w:t>
      2) on the registered transfer of the right to a patent;</w:t>
      </w:r>
    </w:p>
    <w:p>
      <w:pPr>
        <w:spacing w:after="0"/>
        <w:ind w:left="0"/>
        <w:jc w:val="both"/>
      </w:pPr>
      <w:r>
        <w:rPr>
          <w:rFonts w:ascii="Times New Roman"/>
          <w:b w:val="false"/>
          <w:i w:val="false"/>
          <w:color w:val="000000"/>
          <w:sz w:val="28"/>
        </w:rPr>
        <w:t>
      the type of the agreement;</w:t>
      </w:r>
    </w:p>
    <w:p>
      <w:pPr>
        <w:spacing w:after="0"/>
        <w:ind w:left="0"/>
        <w:jc w:val="both"/>
      </w:pPr>
      <w:r>
        <w:rPr>
          <w:rFonts w:ascii="Times New Roman"/>
          <w:b w:val="false"/>
          <w:i w:val="false"/>
          <w:color w:val="000000"/>
          <w:sz w:val="28"/>
        </w:rPr>
        <w:t>
      the number of the agreement;</w:t>
      </w:r>
    </w:p>
    <w:p>
      <w:pPr>
        <w:spacing w:after="0"/>
        <w:ind w:left="0"/>
        <w:jc w:val="both"/>
      </w:pPr>
      <w:r>
        <w:rPr>
          <w:rFonts w:ascii="Times New Roman"/>
          <w:b w:val="false"/>
          <w:i w:val="false"/>
          <w:color w:val="000000"/>
          <w:sz w:val="28"/>
        </w:rPr>
        <w:t>
      the date of the agreement’s registration;</w:t>
      </w:r>
    </w:p>
    <w:p>
      <w:pPr>
        <w:spacing w:after="0"/>
        <w:ind w:left="0"/>
        <w:jc w:val="both"/>
      </w:pPr>
      <w:r>
        <w:rPr>
          <w:rFonts w:ascii="Times New Roman"/>
          <w:b w:val="false"/>
          <w:i w:val="false"/>
          <w:color w:val="000000"/>
          <w:sz w:val="28"/>
        </w:rPr>
        <w:t>
      the name;</w:t>
      </w:r>
    </w:p>
    <w:p>
      <w:pPr>
        <w:spacing w:after="0"/>
        <w:ind w:left="0"/>
        <w:jc w:val="both"/>
      </w:pPr>
      <w:r>
        <w:rPr>
          <w:rFonts w:ascii="Times New Roman"/>
          <w:b w:val="false"/>
          <w:i w:val="false"/>
          <w:color w:val="000000"/>
          <w:sz w:val="28"/>
        </w:rPr>
        <w:t xml:space="preserve">
      the patent number; </w:t>
      </w:r>
    </w:p>
    <w:p>
      <w:pPr>
        <w:spacing w:after="0"/>
        <w:ind w:left="0"/>
        <w:jc w:val="both"/>
      </w:pPr>
      <w:r>
        <w:rPr>
          <w:rFonts w:ascii="Times New Roman"/>
          <w:b w:val="false"/>
          <w:i w:val="false"/>
          <w:color w:val="000000"/>
          <w:sz w:val="28"/>
        </w:rPr>
        <w:t>
      the registration number;</w:t>
      </w:r>
    </w:p>
    <w:p>
      <w:pPr>
        <w:spacing w:after="0"/>
        <w:ind w:left="0"/>
        <w:jc w:val="both"/>
      </w:pPr>
      <w:r>
        <w:rPr>
          <w:rFonts w:ascii="Times New Roman"/>
          <w:b w:val="false"/>
          <w:i w:val="false"/>
          <w:color w:val="000000"/>
          <w:sz w:val="28"/>
        </w:rPr>
        <w:t>
      the owner;</w:t>
      </w:r>
    </w:p>
    <w:p>
      <w:pPr>
        <w:spacing w:after="0"/>
        <w:ind w:left="0"/>
        <w:jc w:val="both"/>
      </w:pPr>
      <w:r>
        <w:rPr>
          <w:rFonts w:ascii="Times New Roman"/>
          <w:b w:val="false"/>
          <w:i w:val="false"/>
          <w:color w:val="000000"/>
          <w:sz w:val="28"/>
        </w:rPr>
        <w:t>
      the owner’s address;</w:t>
      </w:r>
    </w:p>
    <w:p>
      <w:pPr>
        <w:spacing w:after="0"/>
        <w:ind w:left="0"/>
        <w:jc w:val="both"/>
      </w:pPr>
      <w:r>
        <w:rPr>
          <w:rFonts w:ascii="Times New Roman"/>
          <w:b w:val="false"/>
          <w:i w:val="false"/>
          <w:color w:val="000000"/>
          <w:sz w:val="28"/>
        </w:rPr>
        <w:t>
      the assignee;</w:t>
      </w:r>
    </w:p>
    <w:p>
      <w:pPr>
        <w:spacing w:after="0"/>
        <w:ind w:left="0"/>
        <w:jc w:val="both"/>
      </w:pPr>
      <w:r>
        <w:rPr>
          <w:rFonts w:ascii="Times New Roman"/>
          <w:b w:val="false"/>
          <w:i w:val="false"/>
          <w:color w:val="000000"/>
          <w:sz w:val="28"/>
        </w:rPr>
        <w:t>
      the assignee’s address;</w:t>
      </w:r>
    </w:p>
    <w:p>
      <w:pPr>
        <w:spacing w:after="0"/>
        <w:ind w:left="0"/>
        <w:jc w:val="both"/>
      </w:pPr>
      <w:r>
        <w:rPr>
          <w:rFonts w:ascii="Times New Roman"/>
          <w:b w:val="false"/>
          <w:i w:val="false"/>
          <w:color w:val="000000"/>
          <w:sz w:val="28"/>
        </w:rPr>
        <w:t>
      3) on the registered granting of the right:</w:t>
      </w:r>
    </w:p>
    <w:p>
      <w:pPr>
        <w:spacing w:after="0"/>
        <w:ind w:left="0"/>
        <w:jc w:val="both"/>
      </w:pPr>
      <w:r>
        <w:rPr>
          <w:rFonts w:ascii="Times New Roman"/>
          <w:b w:val="false"/>
          <w:i w:val="false"/>
          <w:color w:val="000000"/>
          <w:sz w:val="28"/>
        </w:rPr>
        <w:t>
      the type of the agreement;</w:t>
      </w:r>
    </w:p>
    <w:p>
      <w:pPr>
        <w:spacing w:after="0"/>
        <w:ind w:left="0"/>
        <w:jc w:val="both"/>
      </w:pPr>
      <w:r>
        <w:rPr>
          <w:rFonts w:ascii="Times New Roman"/>
          <w:b w:val="false"/>
          <w:i w:val="false"/>
          <w:color w:val="000000"/>
          <w:sz w:val="28"/>
        </w:rPr>
        <w:t>
      the number of the agreement;</w:t>
      </w:r>
    </w:p>
    <w:p>
      <w:pPr>
        <w:spacing w:after="0"/>
        <w:ind w:left="0"/>
        <w:jc w:val="both"/>
      </w:pPr>
      <w:r>
        <w:rPr>
          <w:rFonts w:ascii="Times New Roman"/>
          <w:b w:val="false"/>
          <w:i w:val="false"/>
          <w:color w:val="000000"/>
          <w:sz w:val="28"/>
        </w:rPr>
        <w:t>
      the date of the agreement’s registration;</w:t>
      </w:r>
    </w:p>
    <w:p>
      <w:pPr>
        <w:spacing w:after="0"/>
        <w:ind w:left="0"/>
        <w:jc w:val="both"/>
      </w:pPr>
      <w:r>
        <w:rPr>
          <w:rFonts w:ascii="Times New Roman"/>
          <w:b w:val="false"/>
          <w:i w:val="false"/>
          <w:color w:val="000000"/>
          <w:sz w:val="28"/>
        </w:rPr>
        <w:t>
      the name;</w:t>
      </w:r>
    </w:p>
    <w:p>
      <w:pPr>
        <w:spacing w:after="0"/>
        <w:ind w:left="0"/>
        <w:jc w:val="both"/>
      </w:pPr>
      <w:r>
        <w:rPr>
          <w:rFonts w:ascii="Times New Roman"/>
          <w:b w:val="false"/>
          <w:i w:val="false"/>
          <w:color w:val="000000"/>
          <w:sz w:val="28"/>
        </w:rPr>
        <w:t xml:space="preserve">
      the patent number; </w:t>
      </w:r>
    </w:p>
    <w:p>
      <w:pPr>
        <w:spacing w:after="0"/>
        <w:ind w:left="0"/>
        <w:jc w:val="both"/>
      </w:pPr>
      <w:r>
        <w:rPr>
          <w:rFonts w:ascii="Times New Roman"/>
          <w:b w:val="false"/>
          <w:i w:val="false"/>
          <w:color w:val="000000"/>
          <w:sz w:val="28"/>
        </w:rPr>
        <w:t>
      the registration number;</w:t>
      </w:r>
    </w:p>
    <w:p>
      <w:pPr>
        <w:spacing w:after="0"/>
        <w:ind w:left="0"/>
        <w:jc w:val="both"/>
      </w:pPr>
      <w:r>
        <w:rPr>
          <w:rFonts w:ascii="Times New Roman"/>
          <w:b w:val="false"/>
          <w:i w:val="false"/>
          <w:color w:val="000000"/>
          <w:sz w:val="28"/>
        </w:rPr>
        <w:t>
      the licensor (sublicensor);</w:t>
      </w:r>
    </w:p>
    <w:p>
      <w:pPr>
        <w:spacing w:after="0"/>
        <w:ind w:left="0"/>
        <w:jc w:val="both"/>
      </w:pPr>
      <w:r>
        <w:rPr>
          <w:rFonts w:ascii="Times New Roman"/>
          <w:b w:val="false"/>
          <w:i w:val="false"/>
          <w:color w:val="000000"/>
          <w:sz w:val="28"/>
        </w:rPr>
        <w:t>
      the licensor’s (sublicensor’s) address;</w:t>
      </w:r>
    </w:p>
    <w:p>
      <w:pPr>
        <w:spacing w:after="0"/>
        <w:ind w:left="0"/>
        <w:jc w:val="both"/>
      </w:pPr>
      <w:r>
        <w:rPr>
          <w:rFonts w:ascii="Times New Roman"/>
          <w:b w:val="false"/>
          <w:i w:val="false"/>
          <w:color w:val="000000"/>
          <w:sz w:val="28"/>
        </w:rPr>
        <w:t>
      the licensee (sublicensee);</w:t>
      </w:r>
    </w:p>
    <w:p>
      <w:pPr>
        <w:spacing w:after="0"/>
        <w:ind w:left="0"/>
        <w:jc w:val="both"/>
      </w:pPr>
      <w:r>
        <w:rPr>
          <w:rFonts w:ascii="Times New Roman"/>
          <w:b w:val="false"/>
          <w:i w:val="false"/>
          <w:color w:val="000000"/>
          <w:sz w:val="28"/>
        </w:rPr>
        <w:t>
      the licensee’s (sublicensee’s) address.</w:t>
      </w:r>
    </w:p>
    <w:p>
      <w:pPr>
        <w:spacing w:after="0"/>
        <w:ind w:left="0"/>
        <w:jc w:val="both"/>
      </w:pPr>
      <w:r>
        <w:rPr>
          <w:rFonts w:ascii="Times New Roman"/>
          <w:b w:val="false"/>
          <w:i w:val="false"/>
          <w:color w:val="000000"/>
          <w:sz w:val="28"/>
        </w:rPr>
        <w:t xml:space="preserve">
      4) on the registered changes relating to essential conditions of the registered license (sublicense) agreement: </w:t>
      </w:r>
    </w:p>
    <w:p>
      <w:pPr>
        <w:spacing w:after="0"/>
        <w:ind w:left="0"/>
        <w:jc w:val="both"/>
      </w:pPr>
      <w:r>
        <w:rPr>
          <w:rFonts w:ascii="Times New Roman"/>
          <w:b w:val="false"/>
          <w:i w:val="false"/>
          <w:color w:val="000000"/>
          <w:sz w:val="28"/>
        </w:rPr>
        <w:t>
      the type of the agreement;</w:t>
      </w:r>
    </w:p>
    <w:p>
      <w:pPr>
        <w:spacing w:after="0"/>
        <w:ind w:left="0"/>
        <w:jc w:val="both"/>
      </w:pPr>
      <w:r>
        <w:rPr>
          <w:rFonts w:ascii="Times New Roman"/>
          <w:b w:val="false"/>
          <w:i w:val="false"/>
          <w:color w:val="000000"/>
          <w:sz w:val="28"/>
        </w:rPr>
        <w:t>
      the number of the agreement;</w:t>
      </w:r>
    </w:p>
    <w:p>
      <w:pPr>
        <w:spacing w:after="0"/>
        <w:ind w:left="0"/>
        <w:jc w:val="both"/>
      </w:pPr>
      <w:r>
        <w:rPr>
          <w:rFonts w:ascii="Times New Roman"/>
          <w:b w:val="false"/>
          <w:i w:val="false"/>
          <w:color w:val="000000"/>
          <w:sz w:val="28"/>
        </w:rPr>
        <w:t>
      the date of the agreement’s registration;</w:t>
      </w:r>
    </w:p>
    <w:p>
      <w:pPr>
        <w:spacing w:after="0"/>
        <w:ind w:left="0"/>
        <w:jc w:val="both"/>
      </w:pPr>
      <w:r>
        <w:rPr>
          <w:rFonts w:ascii="Times New Roman"/>
          <w:b w:val="false"/>
          <w:i w:val="false"/>
          <w:color w:val="000000"/>
          <w:sz w:val="28"/>
        </w:rPr>
        <w:t>
      the name;</w:t>
      </w:r>
    </w:p>
    <w:p>
      <w:pPr>
        <w:spacing w:after="0"/>
        <w:ind w:left="0"/>
        <w:jc w:val="both"/>
      </w:pPr>
      <w:r>
        <w:rPr>
          <w:rFonts w:ascii="Times New Roman"/>
          <w:b w:val="false"/>
          <w:i w:val="false"/>
          <w:color w:val="000000"/>
          <w:sz w:val="28"/>
        </w:rPr>
        <w:t xml:space="preserve">
      the patent number; </w:t>
      </w:r>
    </w:p>
    <w:p>
      <w:pPr>
        <w:spacing w:after="0"/>
        <w:ind w:left="0"/>
        <w:jc w:val="both"/>
      </w:pPr>
      <w:r>
        <w:rPr>
          <w:rFonts w:ascii="Times New Roman"/>
          <w:b w:val="false"/>
          <w:i w:val="false"/>
          <w:color w:val="000000"/>
          <w:sz w:val="28"/>
        </w:rPr>
        <w:t>
      the registration number;</w:t>
      </w:r>
    </w:p>
    <w:p>
      <w:pPr>
        <w:spacing w:after="0"/>
        <w:ind w:left="0"/>
        <w:jc w:val="both"/>
      </w:pPr>
      <w:r>
        <w:rPr>
          <w:rFonts w:ascii="Times New Roman"/>
          <w:b w:val="false"/>
          <w:i w:val="false"/>
          <w:color w:val="000000"/>
          <w:sz w:val="28"/>
        </w:rPr>
        <w:t>
      the licensor (sublicensor);</w:t>
      </w:r>
    </w:p>
    <w:p>
      <w:pPr>
        <w:spacing w:after="0"/>
        <w:ind w:left="0"/>
        <w:jc w:val="both"/>
      </w:pPr>
      <w:r>
        <w:rPr>
          <w:rFonts w:ascii="Times New Roman"/>
          <w:b w:val="false"/>
          <w:i w:val="false"/>
          <w:color w:val="000000"/>
          <w:sz w:val="28"/>
        </w:rPr>
        <w:t>
      the licensor’s (sublicensor’s) address;</w:t>
      </w:r>
    </w:p>
    <w:p>
      <w:pPr>
        <w:spacing w:after="0"/>
        <w:ind w:left="0"/>
        <w:jc w:val="both"/>
      </w:pPr>
      <w:r>
        <w:rPr>
          <w:rFonts w:ascii="Times New Roman"/>
          <w:b w:val="false"/>
          <w:i w:val="false"/>
          <w:color w:val="000000"/>
          <w:sz w:val="28"/>
        </w:rPr>
        <w:t>
      the licensee (sublicensee);</w:t>
      </w:r>
    </w:p>
    <w:p>
      <w:pPr>
        <w:spacing w:after="0"/>
        <w:ind w:left="0"/>
        <w:jc w:val="both"/>
      </w:pPr>
      <w:r>
        <w:rPr>
          <w:rFonts w:ascii="Times New Roman"/>
          <w:b w:val="false"/>
          <w:i w:val="false"/>
          <w:color w:val="000000"/>
          <w:sz w:val="28"/>
        </w:rPr>
        <w:t xml:space="preserve">
      the licensee’s (sublicensee’s) address; </w:t>
      </w:r>
    </w:p>
    <w:p>
      <w:pPr>
        <w:spacing w:after="0"/>
        <w:ind w:left="0"/>
        <w:jc w:val="both"/>
      </w:pPr>
      <w:r>
        <w:rPr>
          <w:rFonts w:ascii="Times New Roman"/>
          <w:b w:val="false"/>
          <w:i w:val="false"/>
          <w:color w:val="000000"/>
          <w:sz w:val="28"/>
        </w:rPr>
        <w:t>
      indication of changes.</w:t>
      </w:r>
    </w:p>
    <w:p>
      <w:pPr>
        <w:spacing w:after="0"/>
        <w:ind w:left="0"/>
        <w:jc w:val="both"/>
      </w:pPr>
      <w:r>
        <w:rPr>
          <w:rFonts w:ascii="Times New Roman"/>
          <w:b w:val="false"/>
          <w:i w:val="false"/>
          <w:color w:val="000000"/>
          <w:sz w:val="28"/>
        </w:rPr>
        <w:t xml:space="preserve">
      5) on termination (early termination) of the registered license (sublicense) agreement: </w:t>
      </w:r>
    </w:p>
    <w:p>
      <w:pPr>
        <w:spacing w:after="0"/>
        <w:ind w:left="0"/>
        <w:jc w:val="both"/>
      </w:pPr>
      <w:r>
        <w:rPr>
          <w:rFonts w:ascii="Times New Roman"/>
          <w:b w:val="false"/>
          <w:i w:val="false"/>
          <w:color w:val="000000"/>
          <w:sz w:val="28"/>
        </w:rPr>
        <w:t>
      the type of the agreement;</w:t>
      </w:r>
    </w:p>
    <w:p>
      <w:pPr>
        <w:spacing w:after="0"/>
        <w:ind w:left="0"/>
        <w:jc w:val="both"/>
      </w:pPr>
      <w:r>
        <w:rPr>
          <w:rFonts w:ascii="Times New Roman"/>
          <w:b w:val="false"/>
          <w:i w:val="false"/>
          <w:color w:val="000000"/>
          <w:sz w:val="28"/>
        </w:rPr>
        <w:t>
      the number of the agreement;</w:t>
      </w:r>
    </w:p>
    <w:p>
      <w:pPr>
        <w:spacing w:after="0"/>
        <w:ind w:left="0"/>
        <w:jc w:val="both"/>
      </w:pPr>
      <w:r>
        <w:rPr>
          <w:rFonts w:ascii="Times New Roman"/>
          <w:b w:val="false"/>
          <w:i w:val="false"/>
          <w:color w:val="000000"/>
          <w:sz w:val="28"/>
        </w:rPr>
        <w:t>
      the date of the agreement’s registration;</w:t>
      </w:r>
    </w:p>
    <w:p>
      <w:pPr>
        <w:spacing w:after="0"/>
        <w:ind w:left="0"/>
        <w:jc w:val="both"/>
      </w:pPr>
      <w:r>
        <w:rPr>
          <w:rFonts w:ascii="Times New Roman"/>
          <w:b w:val="false"/>
          <w:i w:val="false"/>
          <w:color w:val="000000"/>
          <w:sz w:val="28"/>
        </w:rPr>
        <w:t>
      the date of early termination of the agreement;</w:t>
      </w:r>
    </w:p>
    <w:p>
      <w:pPr>
        <w:spacing w:after="0"/>
        <w:ind w:left="0"/>
        <w:jc w:val="both"/>
      </w:pPr>
      <w:r>
        <w:rPr>
          <w:rFonts w:ascii="Times New Roman"/>
          <w:b w:val="false"/>
          <w:i w:val="false"/>
          <w:color w:val="000000"/>
          <w:sz w:val="28"/>
        </w:rPr>
        <w:t>
      the name;</w:t>
      </w:r>
    </w:p>
    <w:p>
      <w:pPr>
        <w:spacing w:after="0"/>
        <w:ind w:left="0"/>
        <w:jc w:val="both"/>
      </w:pPr>
      <w:r>
        <w:rPr>
          <w:rFonts w:ascii="Times New Roman"/>
          <w:b w:val="false"/>
          <w:i w:val="false"/>
          <w:color w:val="000000"/>
          <w:sz w:val="28"/>
        </w:rPr>
        <w:t xml:space="preserve">
      the patent number; </w:t>
      </w:r>
    </w:p>
    <w:p>
      <w:pPr>
        <w:spacing w:after="0"/>
        <w:ind w:left="0"/>
        <w:jc w:val="both"/>
      </w:pPr>
      <w:r>
        <w:rPr>
          <w:rFonts w:ascii="Times New Roman"/>
          <w:b w:val="false"/>
          <w:i w:val="false"/>
          <w:color w:val="000000"/>
          <w:sz w:val="28"/>
        </w:rPr>
        <w:t>
      the registration number;</w:t>
      </w:r>
    </w:p>
    <w:p>
      <w:pPr>
        <w:spacing w:after="0"/>
        <w:ind w:left="0"/>
        <w:jc w:val="both"/>
      </w:pPr>
      <w:r>
        <w:rPr>
          <w:rFonts w:ascii="Times New Roman"/>
          <w:b w:val="false"/>
          <w:i w:val="false"/>
          <w:color w:val="000000"/>
          <w:sz w:val="28"/>
        </w:rPr>
        <w:t>
      the licensor (sublicensor);</w:t>
      </w:r>
    </w:p>
    <w:p>
      <w:pPr>
        <w:spacing w:after="0"/>
        <w:ind w:left="0"/>
        <w:jc w:val="both"/>
      </w:pPr>
      <w:r>
        <w:rPr>
          <w:rFonts w:ascii="Times New Roman"/>
          <w:b w:val="false"/>
          <w:i w:val="false"/>
          <w:color w:val="000000"/>
          <w:sz w:val="28"/>
        </w:rPr>
        <w:t>
      the licensor’s (sublicensor’s) address;</w:t>
      </w:r>
    </w:p>
    <w:p>
      <w:pPr>
        <w:spacing w:after="0"/>
        <w:ind w:left="0"/>
        <w:jc w:val="both"/>
      </w:pPr>
      <w:r>
        <w:rPr>
          <w:rFonts w:ascii="Times New Roman"/>
          <w:b w:val="false"/>
          <w:i w:val="false"/>
          <w:color w:val="000000"/>
          <w:sz w:val="28"/>
        </w:rPr>
        <w:t>
      the licensee (sublicensee);</w:t>
      </w:r>
    </w:p>
    <w:p>
      <w:pPr>
        <w:spacing w:after="0"/>
        <w:ind w:left="0"/>
        <w:jc w:val="both"/>
      </w:pPr>
      <w:r>
        <w:rPr>
          <w:rFonts w:ascii="Times New Roman"/>
          <w:b w:val="false"/>
          <w:i w:val="false"/>
          <w:color w:val="000000"/>
          <w:sz w:val="28"/>
        </w:rPr>
        <w:t xml:space="preserve">
      the licensee’s (sublicensee’s) address. </w:t>
      </w:r>
    </w:p>
    <w:p>
      <w:pPr>
        <w:spacing w:after="0"/>
        <w:ind w:left="0"/>
        <w:jc w:val="both"/>
      </w:pPr>
      <w:r>
        <w:rPr>
          <w:rFonts w:ascii="Times New Roman"/>
          <w:b w:val="false"/>
          <w:i w:val="false"/>
          <w:color w:val="000000"/>
          <w:sz w:val="28"/>
        </w:rPr>
        <w:t>
      6) on patent cancellation:</w:t>
      </w:r>
    </w:p>
    <w:p>
      <w:pPr>
        <w:spacing w:after="0"/>
        <w:ind w:left="0"/>
        <w:jc w:val="both"/>
      </w:pPr>
      <w:r>
        <w:rPr>
          <w:rFonts w:ascii="Times New Roman"/>
          <w:b w:val="false"/>
          <w:i w:val="false"/>
          <w:color w:val="000000"/>
          <w:sz w:val="28"/>
        </w:rPr>
        <w:t>
      the registration number;</w:t>
      </w:r>
    </w:p>
    <w:p>
      <w:pPr>
        <w:spacing w:after="0"/>
        <w:ind w:left="0"/>
        <w:jc w:val="both"/>
      </w:pPr>
      <w:r>
        <w:rPr>
          <w:rFonts w:ascii="Times New Roman"/>
          <w:b w:val="false"/>
          <w:i w:val="false"/>
          <w:color w:val="000000"/>
          <w:sz w:val="28"/>
        </w:rPr>
        <w:t>
      the application’s number;</w:t>
      </w:r>
    </w:p>
    <w:p>
      <w:pPr>
        <w:spacing w:after="0"/>
        <w:ind w:left="0"/>
        <w:jc w:val="both"/>
      </w:pPr>
      <w:r>
        <w:rPr>
          <w:rFonts w:ascii="Times New Roman"/>
          <w:b w:val="false"/>
          <w:i w:val="false"/>
          <w:color w:val="000000"/>
          <w:sz w:val="28"/>
        </w:rPr>
        <w:t>
      the filing date;</w:t>
      </w:r>
    </w:p>
    <w:p>
      <w:pPr>
        <w:spacing w:after="0"/>
        <w:ind w:left="0"/>
        <w:jc w:val="both"/>
      </w:pPr>
      <w:r>
        <w:rPr>
          <w:rFonts w:ascii="Times New Roman"/>
          <w:b w:val="false"/>
          <w:i w:val="false"/>
          <w:color w:val="000000"/>
          <w:sz w:val="28"/>
        </w:rPr>
        <w:t>
      the patent name;</w:t>
      </w:r>
    </w:p>
    <w:p>
      <w:pPr>
        <w:spacing w:after="0"/>
        <w:ind w:left="0"/>
        <w:jc w:val="both"/>
      </w:pPr>
      <w:r>
        <w:rPr>
          <w:rFonts w:ascii="Times New Roman"/>
          <w:b w:val="false"/>
          <w:i w:val="false"/>
          <w:color w:val="000000"/>
          <w:sz w:val="28"/>
        </w:rPr>
        <w:t>
      the owner’s name;</w:t>
      </w:r>
    </w:p>
    <w:p>
      <w:pPr>
        <w:spacing w:after="0"/>
        <w:ind w:left="0"/>
        <w:jc w:val="both"/>
      </w:pPr>
      <w:r>
        <w:rPr>
          <w:rFonts w:ascii="Times New Roman"/>
          <w:b w:val="false"/>
          <w:i w:val="false"/>
          <w:color w:val="000000"/>
          <w:sz w:val="28"/>
        </w:rPr>
        <w:t>
      the date of termination;</w:t>
      </w:r>
    </w:p>
    <w:p>
      <w:pPr>
        <w:spacing w:after="0"/>
        <w:ind w:left="0"/>
        <w:jc w:val="both"/>
      </w:pPr>
      <w:r>
        <w:rPr>
          <w:rFonts w:ascii="Times New Roman"/>
          <w:b w:val="false"/>
          <w:i w:val="false"/>
          <w:color w:val="000000"/>
          <w:sz w:val="28"/>
        </w:rPr>
        <w:t>
      the reason for termination.</w:t>
      </w:r>
    </w:p>
    <w:p>
      <w:pPr>
        <w:spacing w:after="0"/>
        <w:ind w:left="0"/>
        <w:jc w:val="both"/>
      </w:pPr>
      <w:r>
        <w:rPr>
          <w:rFonts w:ascii="Times New Roman"/>
          <w:b w:val="false"/>
          <w:i w:val="false"/>
          <w:color w:val="000000"/>
          <w:sz w:val="28"/>
        </w:rPr>
        <w:t>
      7) on termination of a patent at the patent owner’s request:</w:t>
      </w:r>
    </w:p>
    <w:p>
      <w:pPr>
        <w:spacing w:after="0"/>
        <w:ind w:left="0"/>
        <w:jc w:val="both"/>
      </w:pPr>
      <w:r>
        <w:rPr>
          <w:rFonts w:ascii="Times New Roman"/>
          <w:b w:val="false"/>
          <w:i w:val="false"/>
          <w:color w:val="000000"/>
          <w:sz w:val="28"/>
        </w:rPr>
        <w:t>
      the registration number;</w:t>
      </w:r>
    </w:p>
    <w:p>
      <w:pPr>
        <w:spacing w:after="0"/>
        <w:ind w:left="0"/>
        <w:jc w:val="both"/>
      </w:pPr>
      <w:r>
        <w:rPr>
          <w:rFonts w:ascii="Times New Roman"/>
          <w:b w:val="false"/>
          <w:i w:val="false"/>
          <w:color w:val="000000"/>
          <w:sz w:val="28"/>
        </w:rPr>
        <w:t>
      the application’s number;</w:t>
      </w:r>
    </w:p>
    <w:p>
      <w:pPr>
        <w:spacing w:after="0"/>
        <w:ind w:left="0"/>
        <w:jc w:val="both"/>
      </w:pPr>
      <w:r>
        <w:rPr>
          <w:rFonts w:ascii="Times New Roman"/>
          <w:b w:val="false"/>
          <w:i w:val="false"/>
          <w:color w:val="000000"/>
          <w:sz w:val="28"/>
        </w:rPr>
        <w:t>
      the filing date;</w:t>
      </w:r>
    </w:p>
    <w:p>
      <w:pPr>
        <w:spacing w:after="0"/>
        <w:ind w:left="0"/>
        <w:jc w:val="both"/>
      </w:pPr>
      <w:r>
        <w:rPr>
          <w:rFonts w:ascii="Times New Roman"/>
          <w:b w:val="false"/>
          <w:i w:val="false"/>
          <w:color w:val="000000"/>
          <w:sz w:val="28"/>
        </w:rPr>
        <w:t>
      the patent name;</w:t>
      </w:r>
    </w:p>
    <w:p>
      <w:pPr>
        <w:spacing w:after="0"/>
        <w:ind w:left="0"/>
        <w:jc w:val="both"/>
      </w:pPr>
      <w:r>
        <w:rPr>
          <w:rFonts w:ascii="Times New Roman"/>
          <w:b w:val="false"/>
          <w:i w:val="false"/>
          <w:color w:val="000000"/>
          <w:sz w:val="28"/>
        </w:rPr>
        <w:t>
      the owner’s name;</w:t>
      </w:r>
    </w:p>
    <w:p>
      <w:pPr>
        <w:spacing w:after="0"/>
        <w:ind w:left="0"/>
        <w:jc w:val="both"/>
      </w:pPr>
      <w:r>
        <w:rPr>
          <w:rFonts w:ascii="Times New Roman"/>
          <w:b w:val="false"/>
          <w:i w:val="false"/>
          <w:color w:val="000000"/>
          <w:sz w:val="28"/>
        </w:rPr>
        <w:t>
      the date of termination;</w:t>
      </w:r>
    </w:p>
    <w:p>
      <w:pPr>
        <w:spacing w:after="0"/>
        <w:ind w:left="0"/>
        <w:jc w:val="both"/>
      </w:pPr>
      <w:r>
        <w:rPr>
          <w:rFonts w:ascii="Times New Roman"/>
          <w:b w:val="false"/>
          <w:i w:val="false"/>
          <w:color w:val="000000"/>
          <w:sz w:val="28"/>
        </w:rPr>
        <w:t>
      the reason for termination.</w:t>
      </w:r>
    </w:p>
    <w:p>
      <w:pPr>
        <w:spacing w:after="0"/>
        <w:ind w:left="0"/>
        <w:jc w:val="both"/>
      </w:pPr>
      <w:r>
        <w:rPr>
          <w:rFonts w:ascii="Times New Roman"/>
          <w:b w:val="false"/>
          <w:i w:val="false"/>
          <w:color w:val="000000"/>
          <w:sz w:val="28"/>
        </w:rPr>
        <w:t xml:space="preserve">
      8) on early termination of a patent due to a failure to pay on time: </w:t>
      </w:r>
    </w:p>
    <w:p>
      <w:pPr>
        <w:spacing w:after="0"/>
        <w:ind w:left="0"/>
        <w:jc w:val="both"/>
      </w:pPr>
      <w:r>
        <w:rPr>
          <w:rFonts w:ascii="Times New Roman"/>
          <w:b w:val="false"/>
          <w:i w:val="false"/>
          <w:color w:val="000000"/>
          <w:sz w:val="28"/>
        </w:rPr>
        <w:t>
      the registration number;</w:t>
      </w:r>
    </w:p>
    <w:p>
      <w:pPr>
        <w:spacing w:after="0"/>
        <w:ind w:left="0"/>
        <w:jc w:val="both"/>
      </w:pPr>
      <w:r>
        <w:rPr>
          <w:rFonts w:ascii="Times New Roman"/>
          <w:b w:val="false"/>
          <w:i w:val="false"/>
          <w:color w:val="000000"/>
          <w:sz w:val="28"/>
        </w:rPr>
        <w:t>
      the application’s number;</w:t>
      </w:r>
    </w:p>
    <w:p>
      <w:pPr>
        <w:spacing w:after="0"/>
        <w:ind w:left="0"/>
        <w:jc w:val="both"/>
      </w:pPr>
      <w:r>
        <w:rPr>
          <w:rFonts w:ascii="Times New Roman"/>
          <w:b w:val="false"/>
          <w:i w:val="false"/>
          <w:color w:val="000000"/>
          <w:sz w:val="28"/>
        </w:rPr>
        <w:t>
      the filing date;</w:t>
      </w:r>
    </w:p>
    <w:p>
      <w:pPr>
        <w:spacing w:after="0"/>
        <w:ind w:left="0"/>
        <w:jc w:val="both"/>
      </w:pPr>
      <w:r>
        <w:rPr>
          <w:rFonts w:ascii="Times New Roman"/>
          <w:b w:val="false"/>
          <w:i w:val="false"/>
          <w:color w:val="000000"/>
          <w:sz w:val="28"/>
        </w:rPr>
        <w:t>
      the patent name;</w:t>
      </w:r>
    </w:p>
    <w:p>
      <w:pPr>
        <w:spacing w:after="0"/>
        <w:ind w:left="0"/>
        <w:jc w:val="both"/>
      </w:pPr>
      <w:r>
        <w:rPr>
          <w:rFonts w:ascii="Times New Roman"/>
          <w:b w:val="false"/>
          <w:i w:val="false"/>
          <w:color w:val="000000"/>
          <w:sz w:val="28"/>
        </w:rPr>
        <w:t>
      the owner’s name;</w:t>
      </w:r>
    </w:p>
    <w:p>
      <w:pPr>
        <w:spacing w:after="0"/>
        <w:ind w:left="0"/>
        <w:jc w:val="both"/>
      </w:pPr>
      <w:r>
        <w:rPr>
          <w:rFonts w:ascii="Times New Roman"/>
          <w:b w:val="false"/>
          <w:i w:val="false"/>
          <w:color w:val="000000"/>
          <w:sz w:val="28"/>
        </w:rPr>
        <w:t>
      the date of termination;</w:t>
      </w:r>
    </w:p>
    <w:p>
      <w:pPr>
        <w:spacing w:after="0"/>
        <w:ind w:left="0"/>
        <w:jc w:val="both"/>
      </w:pPr>
      <w:r>
        <w:rPr>
          <w:rFonts w:ascii="Times New Roman"/>
          <w:b w:val="false"/>
          <w:i w:val="false"/>
          <w:color w:val="000000"/>
          <w:sz w:val="28"/>
        </w:rPr>
        <w:t xml:space="preserve">
      the reason for termination. </w:t>
      </w:r>
    </w:p>
    <w:p>
      <w:pPr>
        <w:spacing w:after="0"/>
        <w:ind w:left="0"/>
        <w:jc w:val="both"/>
      </w:pPr>
      <w:r>
        <w:rPr>
          <w:rFonts w:ascii="Times New Roman"/>
          <w:b w:val="false"/>
          <w:i w:val="false"/>
          <w:color w:val="000000"/>
          <w:sz w:val="28"/>
        </w:rPr>
        <w:t>
      9) on changes in the name and/or location address, mailing address of the patent owner that is a legal entity:</w:t>
      </w:r>
    </w:p>
    <w:p>
      <w:pPr>
        <w:spacing w:after="0"/>
        <w:ind w:left="0"/>
        <w:jc w:val="both"/>
      </w:pPr>
      <w:r>
        <w:rPr>
          <w:rFonts w:ascii="Times New Roman"/>
          <w:b w:val="false"/>
          <w:i w:val="false"/>
          <w:color w:val="000000"/>
          <w:sz w:val="28"/>
        </w:rPr>
        <w:t>
      the registration number;</w:t>
      </w:r>
    </w:p>
    <w:p>
      <w:pPr>
        <w:spacing w:after="0"/>
        <w:ind w:left="0"/>
        <w:jc w:val="both"/>
      </w:pPr>
      <w:r>
        <w:rPr>
          <w:rFonts w:ascii="Times New Roman"/>
          <w:b w:val="false"/>
          <w:i w:val="false"/>
          <w:color w:val="000000"/>
          <w:sz w:val="28"/>
        </w:rPr>
        <w:t>
      the patent owner’s new name and/or location address.</w:t>
      </w:r>
    </w:p>
    <w:p>
      <w:pPr>
        <w:spacing w:after="0"/>
        <w:ind w:left="0"/>
        <w:jc w:val="both"/>
      </w:pPr>
      <w:r>
        <w:rPr>
          <w:rFonts w:ascii="Times New Roman"/>
          <w:b w:val="false"/>
          <w:i w:val="false"/>
          <w:color w:val="000000"/>
          <w:sz w:val="28"/>
        </w:rPr>
        <w:t>
      10) on changes in the last and first names, patronymic (if any) of the author, patent owner that is an individual and/or the patent owner’s residence address, mailing address:</w:t>
      </w:r>
    </w:p>
    <w:p>
      <w:pPr>
        <w:spacing w:after="0"/>
        <w:ind w:left="0"/>
        <w:jc w:val="both"/>
      </w:pPr>
      <w:r>
        <w:rPr>
          <w:rFonts w:ascii="Times New Roman"/>
          <w:b w:val="false"/>
          <w:i w:val="false"/>
          <w:color w:val="000000"/>
          <w:sz w:val="28"/>
        </w:rPr>
        <w:t>
      the registration number;</w:t>
      </w:r>
    </w:p>
    <w:p>
      <w:pPr>
        <w:spacing w:after="0"/>
        <w:ind w:left="0"/>
        <w:jc w:val="both"/>
      </w:pPr>
      <w:r>
        <w:rPr>
          <w:rFonts w:ascii="Times New Roman"/>
          <w:b w:val="false"/>
          <w:i w:val="false"/>
          <w:color w:val="000000"/>
          <w:sz w:val="28"/>
        </w:rPr>
        <w:t>
      the patent owner’s new name and/or location address.</w:t>
      </w:r>
    </w:p>
    <w:p>
      <w:pPr>
        <w:spacing w:after="0"/>
        <w:ind w:left="0"/>
        <w:jc w:val="both"/>
      </w:pPr>
      <w:r>
        <w:rPr>
          <w:rFonts w:ascii="Times New Roman"/>
          <w:b w:val="false"/>
          <w:i w:val="false"/>
          <w:color w:val="000000"/>
          <w:sz w:val="28"/>
        </w:rPr>
        <w:t>
      11) on extension of the patent’s validity:</w:t>
      </w:r>
    </w:p>
    <w:p>
      <w:pPr>
        <w:spacing w:after="0"/>
        <w:ind w:left="0"/>
        <w:jc w:val="both"/>
      </w:pPr>
      <w:r>
        <w:rPr>
          <w:rFonts w:ascii="Times New Roman"/>
          <w:b w:val="false"/>
          <w:i w:val="false"/>
          <w:color w:val="000000"/>
          <w:sz w:val="28"/>
        </w:rPr>
        <w:t>
      the registration number;</w:t>
      </w:r>
    </w:p>
    <w:p>
      <w:pPr>
        <w:spacing w:after="0"/>
        <w:ind w:left="0"/>
        <w:jc w:val="both"/>
      </w:pPr>
      <w:r>
        <w:rPr>
          <w:rFonts w:ascii="Times New Roman"/>
          <w:b w:val="false"/>
          <w:i w:val="false"/>
          <w:color w:val="000000"/>
          <w:sz w:val="28"/>
        </w:rPr>
        <w:t>
      the owner’s name;</w:t>
      </w:r>
    </w:p>
    <w:p>
      <w:pPr>
        <w:spacing w:after="0"/>
        <w:ind w:left="0"/>
        <w:jc w:val="both"/>
      </w:pPr>
      <w:r>
        <w:rPr>
          <w:rFonts w:ascii="Times New Roman"/>
          <w:b w:val="false"/>
          <w:i w:val="false"/>
          <w:color w:val="000000"/>
          <w:sz w:val="28"/>
        </w:rPr>
        <w:t>
      the date until which the patent has been extended.</w:t>
      </w:r>
    </w:p>
    <w:p>
      <w:pPr>
        <w:spacing w:after="0"/>
        <w:ind w:left="0"/>
        <w:jc w:val="both"/>
      </w:pPr>
      <w:r>
        <w:rPr>
          <w:rFonts w:ascii="Times New Roman"/>
          <w:b w:val="false"/>
          <w:i w:val="false"/>
          <w:color w:val="000000"/>
          <w:sz w:val="28"/>
        </w:rPr>
        <w:t>
      12) on the renewal of a document of title:</w:t>
      </w:r>
    </w:p>
    <w:p>
      <w:pPr>
        <w:spacing w:after="0"/>
        <w:ind w:left="0"/>
        <w:jc w:val="both"/>
      </w:pPr>
      <w:r>
        <w:rPr>
          <w:rFonts w:ascii="Times New Roman"/>
          <w:b w:val="false"/>
          <w:i w:val="false"/>
          <w:color w:val="000000"/>
          <w:sz w:val="28"/>
        </w:rPr>
        <w:t xml:space="preserve">
      the name of the document of title; </w:t>
      </w:r>
    </w:p>
    <w:p>
      <w:pPr>
        <w:spacing w:after="0"/>
        <w:ind w:left="0"/>
        <w:jc w:val="both"/>
      </w:pPr>
      <w:r>
        <w:rPr>
          <w:rFonts w:ascii="Times New Roman"/>
          <w:b w:val="false"/>
          <w:i w:val="false"/>
          <w:color w:val="000000"/>
          <w:sz w:val="28"/>
        </w:rPr>
        <w:t>
      the date of renewal;</w:t>
      </w:r>
    </w:p>
    <w:p>
      <w:pPr>
        <w:spacing w:after="0"/>
        <w:ind w:left="0"/>
        <w:jc w:val="both"/>
      </w:pPr>
      <w:r>
        <w:rPr>
          <w:rFonts w:ascii="Times New Roman"/>
          <w:b w:val="false"/>
          <w:i w:val="false"/>
          <w:color w:val="000000"/>
          <w:sz w:val="28"/>
        </w:rPr>
        <w:t>
      the name;</w:t>
      </w:r>
    </w:p>
    <w:p>
      <w:pPr>
        <w:spacing w:after="0"/>
        <w:ind w:left="0"/>
        <w:jc w:val="both"/>
      </w:pPr>
      <w:r>
        <w:rPr>
          <w:rFonts w:ascii="Times New Roman"/>
          <w:b w:val="false"/>
          <w:i w:val="false"/>
          <w:color w:val="000000"/>
          <w:sz w:val="28"/>
        </w:rPr>
        <w:t>
      the reason for renewal.</w:t>
      </w:r>
    </w:p>
    <w:p>
      <w:pPr>
        <w:spacing w:after="0"/>
        <w:ind w:left="0"/>
        <w:jc w:val="both"/>
      </w:pPr>
      <w:r>
        <w:rPr>
          <w:rFonts w:ascii="Times New Roman"/>
          <w:b w:val="false"/>
          <w:i w:val="false"/>
          <w:color w:val="000000"/>
          <w:sz w:val="28"/>
        </w:rPr>
        <w:t>
      Information relating to the entry of changes in the State Register of Selection Achievements shall be published by the expert organization after sending a relevant notification.</w:t>
      </w:r>
    </w:p>
    <w:p>
      <w:pPr>
        <w:spacing w:after="0"/>
        <w:ind w:left="0"/>
        <w:jc w:val="both"/>
      </w:pPr>
      <w:r>
        <w:rPr>
          <w:rFonts w:ascii="Times New Roman"/>
          <w:b w:val="false"/>
          <w:i w:val="false"/>
          <w:color w:val="000000"/>
          <w:sz w:val="28"/>
        </w:rPr>
        <w:t>
      Clause 5. The order for publishing information on the extension of the validity of a selection achievement</w:t>
      </w:r>
    </w:p>
    <w:p>
      <w:pPr>
        <w:spacing w:after="0"/>
        <w:ind w:left="0"/>
        <w:jc w:val="both"/>
      </w:pPr>
      <w:r>
        <w:rPr>
          <w:rFonts w:ascii="Times New Roman"/>
          <w:b w:val="false"/>
          <w:i w:val="false"/>
          <w:color w:val="000000"/>
          <w:sz w:val="28"/>
        </w:rPr>
        <w:t xml:space="preserve">
      21. The expert organization shall publish information on the extension of validity of a selection achievement in Kazakh and Russian in the “Хабарлама - Notices” section, indicating such data as: </w:t>
      </w:r>
    </w:p>
    <w:p>
      <w:pPr>
        <w:spacing w:after="0"/>
        <w:ind w:left="0"/>
        <w:jc w:val="both"/>
      </w:pPr>
      <w:r>
        <w:rPr>
          <w:rFonts w:ascii="Times New Roman"/>
          <w:b w:val="false"/>
          <w:i w:val="false"/>
          <w:color w:val="000000"/>
          <w:sz w:val="28"/>
        </w:rPr>
        <w:t>
      1) the name of the document of title;</w:t>
      </w:r>
    </w:p>
    <w:p>
      <w:pPr>
        <w:spacing w:after="0"/>
        <w:ind w:left="0"/>
        <w:jc w:val="both"/>
      </w:pPr>
      <w:r>
        <w:rPr>
          <w:rFonts w:ascii="Times New Roman"/>
          <w:b w:val="false"/>
          <w:i w:val="false"/>
          <w:color w:val="000000"/>
          <w:sz w:val="28"/>
        </w:rPr>
        <w:t xml:space="preserve">
      2) the application’s number; </w:t>
      </w:r>
    </w:p>
    <w:p>
      <w:pPr>
        <w:spacing w:after="0"/>
        <w:ind w:left="0"/>
        <w:jc w:val="both"/>
      </w:pPr>
      <w:r>
        <w:rPr>
          <w:rFonts w:ascii="Times New Roman"/>
          <w:b w:val="false"/>
          <w:i w:val="false"/>
          <w:color w:val="000000"/>
          <w:sz w:val="28"/>
        </w:rPr>
        <w:t>
      3) the name;</w:t>
      </w:r>
    </w:p>
    <w:p>
      <w:pPr>
        <w:spacing w:after="0"/>
        <w:ind w:left="0"/>
        <w:jc w:val="both"/>
      </w:pPr>
      <w:r>
        <w:rPr>
          <w:rFonts w:ascii="Times New Roman"/>
          <w:b w:val="false"/>
          <w:i w:val="false"/>
          <w:color w:val="000000"/>
          <w:sz w:val="28"/>
        </w:rPr>
        <w:t>
      4) the date until which the patent has been extended.</w:t>
      </w:r>
    </w:p>
    <w:p>
      <w:pPr>
        <w:spacing w:after="0"/>
        <w:ind w:left="0"/>
        <w:jc w:val="both"/>
      </w:pPr>
      <w:r>
        <w:rPr>
          <w:rFonts w:ascii="Times New Roman"/>
          <w:b w:val="false"/>
          <w:i w:val="false"/>
          <w:color w:val="000000"/>
          <w:sz w:val="28"/>
        </w:rPr>
        <w:t>
      Information relating to the extension of validity of a selection achievement shall be published by the expert organization after sending a relevant notification.</w:t>
      </w:r>
    </w:p>
    <w:p>
      <w:pPr>
        <w:spacing w:after="0"/>
        <w:ind w:left="0"/>
        <w:jc w:val="both"/>
      </w:pPr>
      <w:r>
        <w:rPr>
          <w:rFonts w:ascii="Times New Roman"/>
          <w:b w:val="false"/>
          <w:i w:val="false"/>
          <w:color w:val="000000"/>
          <w:sz w:val="28"/>
        </w:rPr>
        <w:t xml:space="preserve">
      Clause 6. The order for publishing information on early termination, invalidation and cancellation of the validity of a selection achievement </w:t>
      </w:r>
    </w:p>
    <w:p>
      <w:pPr>
        <w:spacing w:after="0"/>
        <w:ind w:left="0"/>
        <w:jc w:val="both"/>
      </w:pPr>
      <w:r>
        <w:rPr>
          <w:rFonts w:ascii="Times New Roman"/>
          <w:b w:val="false"/>
          <w:i w:val="false"/>
          <w:color w:val="000000"/>
          <w:sz w:val="28"/>
        </w:rPr>
        <w:t xml:space="preserve">
      22. The expert organization shall weekly publish information on the termination of validity of a selection achievement in Kazakh and Russian in the “Хабарлама - Notices” section, indicating such data as: </w:t>
      </w:r>
    </w:p>
    <w:p>
      <w:pPr>
        <w:spacing w:after="0"/>
        <w:ind w:left="0"/>
        <w:jc w:val="both"/>
      </w:pPr>
      <w:r>
        <w:rPr>
          <w:rFonts w:ascii="Times New Roman"/>
          <w:b w:val="false"/>
          <w:i w:val="false"/>
          <w:color w:val="000000"/>
          <w:sz w:val="28"/>
        </w:rPr>
        <w:t>
      1) the name of the document of title;</w:t>
      </w:r>
    </w:p>
    <w:p>
      <w:pPr>
        <w:spacing w:after="0"/>
        <w:ind w:left="0"/>
        <w:jc w:val="both"/>
      </w:pPr>
      <w:r>
        <w:rPr>
          <w:rFonts w:ascii="Times New Roman"/>
          <w:b w:val="false"/>
          <w:i w:val="false"/>
          <w:color w:val="000000"/>
          <w:sz w:val="28"/>
        </w:rPr>
        <w:t xml:space="preserve">
      2) the application’s number; </w:t>
      </w:r>
    </w:p>
    <w:p>
      <w:pPr>
        <w:spacing w:after="0"/>
        <w:ind w:left="0"/>
        <w:jc w:val="both"/>
      </w:pPr>
      <w:r>
        <w:rPr>
          <w:rFonts w:ascii="Times New Roman"/>
          <w:b w:val="false"/>
          <w:i w:val="false"/>
          <w:color w:val="000000"/>
          <w:sz w:val="28"/>
        </w:rPr>
        <w:t xml:space="preserve">
      3) the name; </w:t>
      </w:r>
    </w:p>
    <w:p>
      <w:pPr>
        <w:spacing w:after="0"/>
        <w:ind w:left="0"/>
        <w:jc w:val="both"/>
      </w:pPr>
      <w:r>
        <w:rPr>
          <w:rFonts w:ascii="Times New Roman"/>
          <w:b w:val="false"/>
          <w:i w:val="false"/>
          <w:color w:val="000000"/>
          <w:sz w:val="28"/>
        </w:rPr>
        <w:t xml:space="preserve">
      4) the date of early termination, invalidation and cancellation of validity; </w:t>
      </w:r>
    </w:p>
    <w:p>
      <w:pPr>
        <w:spacing w:after="0"/>
        <w:ind w:left="0"/>
        <w:jc w:val="both"/>
      </w:pPr>
      <w:r>
        <w:rPr>
          <w:rFonts w:ascii="Times New Roman"/>
          <w:b w:val="false"/>
          <w:i w:val="false"/>
          <w:color w:val="000000"/>
          <w:sz w:val="28"/>
        </w:rPr>
        <w:t>
      5) the reason for early termination, invalidation and cancellation of validity.</w:t>
      </w:r>
    </w:p>
    <w:p>
      <w:pPr>
        <w:spacing w:after="0"/>
        <w:ind w:left="0"/>
        <w:jc w:val="both"/>
      </w:pPr>
      <w:r>
        <w:rPr>
          <w:rFonts w:ascii="Times New Roman"/>
          <w:b w:val="false"/>
          <w:i w:val="false"/>
          <w:color w:val="000000"/>
          <w:sz w:val="28"/>
        </w:rPr>
        <w:t>
      Information relating to early termination, invalidation and cancellation of validity of a selection patent shall be published by the expert organization after sending a relevant notification.</w:t>
      </w:r>
    </w:p>
    <w:p>
      <w:pPr>
        <w:spacing w:after="0"/>
        <w:ind w:left="0"/>
        <w:jc w:val="both"/>
      </w:pPr>
      <w:r>
        <w:rPr>
          <w:rFonts w:ascii="Times New Roman"/>
          <w:b w:val="false"/>
          <w:i w:val="false"/>
          <w:color w:val="000000"/>
          <w:sz w:val="28"/>
        </w:rPr>
        <w:t xml:space="preserve">
      Clause 7. The order for publishing information on the renewal of a selection achievement </w:t>
      </w:r>
    </w:p>
    <w:p>
      <w:pPr>
        <w:spacing w:after="0"/>
        <w:ind w:left="0"/>
        <w:jc w:val="both"/>
      </w:pPr>
      <w:r>
        <w:rPr>
          <w:rFonts w:ascii="Times New Roman"/>
          <w:b w:val="false"/>
          <w:i w:val="false"/>
          <w:color w:val="000000"/>
          <w:sz w:val="28"/>
        </w:rPr>
        <w:t xml:space="preserve">
      23. The expert organization shall weekly publish information on the renewal of a selection achievement in Kazakh and Russian in the “Хабарлама - Notices” section, indicating such data as: </w:t>
      </w:r>
    </w:p>
    <w:p>
      <w:pPr>
        <w:spacing w:after="0"/>
        <w:ind w:left="0"/>
        <w:jc w:val="both"/>
      </w:pPr>
      <w:r>
        <w:rPr>
          <w:rFonts w:ascii="Times New Roman"/>
          <w:b w:val="false"/>
          <w:i w:val="false"/>
          <w:color w:val="000000"/>
          <w:sz w:val="28"/>
        </w:rPr>
        <w:t>
      1) the name of the document of title;</w:t>
      </w:r>
    </w:p>
    <w:p>
      <w:pPr>
        <w:spacing w:after="0"/>
        <w:ind w:left="0"/>
        <w:jc w:val="both"/>
      </w:pPr>
      <w:r>
        <w:rPr>
          <w:rFonts w:ascii="Times New Roman"/>
          <w:b w:val="false"/>
          <w:i w:val="false"/>
          <w:color w:val="000000"/>
          <w:sz w:val="28"/>
        </w:rPr>
        <w:t xml:space="preserve">
      2) the date of renewal; </w:t>
      </w:r>
    </w:p>
    <w:p>
      <w:pPr>
        <w:spacing w:after="0"/>
        <w:ind w:left="0"/>
        <w:jc w:val="both"/>
      </w:pPr>
      <w:r>
        <w:rPr>
          <w:rFonts w:ascii="Times New Roman"/>
          <w:b w:val="false"/>
          <w:i w:val="false"/>
          <w:color w:val="000000"/>
          <w:sz w:val="28"/>
        </w:rPr>
        <w:t xml:space="preserve">
      3) the name; </w:t>
      </w:r>
    </w:p>
    <w:p>
      <w:pPr>
        <w:spacing w:after="0"/>
        <w:ind w:left="0"/>
        <w:jc w:val="both"/>
      </w:pPr>
      <w:r>
        <w:rPr>
          <w:rFonts w:ascii="Times New Roman"/>
          <w:b w:val="false"/>
          <w:i w:val="false"/>
          <w:color w:val="000000"/>
          <w:sz w:val="28"/>
        </w:rPr>
        <w:t xml:space="preserve">
      4) the reason for renewal. </w:t>
      </w:r>
    </w:p>
    <w:p>
      <w:pPr>
        <w:spacing w:after="0"/>
        <w:ind w:left="0"/>
        <w:jc w:val="both"/>
      </w:pPr>
      <w:r>
        <w:rPr>
          <w:rFonts w:ascii="Times New Roman"/>
          <w:b w:val="false"/>
          <w:i w:val="false"/>
          <w:color w:val="000000"/>
          <w:sz w:val="28"/>
        </w:rPr>
        <w:t>
      Information relating to the renewal of a selection patent shall be published by the expert organization after sending a relevant notification.</w:t>
      </w:r>
    </w:p>
    <w:p>
      <w:pPr>
        <w:spacing w:after="0"/>
        <w:ind w:left="0"/>
        <w:jc w:val="both"/>
      </w:pPr>
      <w:r>
        <w:rPr>
          <w:rFonts w:ascii="Times New Roman"/>
          <w:b w:val="false"/>
          <w:i w:val="false"/>
          <w:color w:val="000000"/>
          <w:sz w:val="28"/>
        </w:rPr>
        <w:t xml:space="preserve">
      Clause 8. The order for publishing information on an integrated circuit topology </w:t>
      </w:r>
    </w:p>
    <w:p>
      <w:pPr>
        <w:spacing w:after="0"/>
        <w:ind w:left="0"/>
        <w:jc w:val="both"/>
      </w:pPr>
      <w:r>
        <w:rPr>
          <w:rFonts w:ascii="Times New Roman"/>
          <w:b w:val="false"/>
          <w:i w:val="false"/>
          <w:color w:val="000000"/>
          <w:sz w:val="28"/>
        </w:rPr>
        <w:t>
      24. On the basis of registration in the State Register of Integrated Circuit Topologies, the expert organization shall weekly publish information on registered topologies in Kazakh and Russian in the bulletin’s section “Integrated Circuit Topology - Интегралдық микросхемалар топологиялары”.</w:t>
      </w:r>
    </w:p>
    <w:p>
      <w:pPr>
        <w:spacing w:after="0"/>
        <w:ind w:left="0"/>
        <w:jc w:val="both"/>
      </w:pPr>
      <w:r>
        <w:rPr>
          <w:rFonts w:ascii="Times New Roman"/>
          <w:b w:val="false"/>
          <w:i w:val="false"/>
          <w:color w:val="000000"/>
          <w:sz w:val="28"/>
        </w:rPr>
        <w:t xml:space="preserve">
      When publishing information on the state registration of an integrated circuit topology, it is necessary to indicate in the official bulletin: </w:t>
      </w:r>
    </w:p>
    <w:p>
      <w:pPr>
        <w:spacing w:after="0"/>
        <w:ind w:left="0"/>
        <w:jc w:val="both"/>
      </w:pPr>
      <w:r>
        <w:rPr>
          <w:rFonts w:ascii="Times New Roman"/>
          <w:b w:val="false"/>
          <w:i w:val="false"/>
          <w:color w:val="000000"/>
          <w:sz w:val="28"/>
        </w:rPr>
        <w:t xml:space="preserve">
      the name of the integrated circuit together with the registered topology; </w:t>
      </w:r>
    </w:p>
    <w:p>
      <w:pPr>
        <w:spacing w:after="0"/>
        <w:ind w:left="0"/>
        <w:jc w:val="both"/>
      </w:pPr>
      <w:r>
        <w:rPr>
          <w:rFonts w:ascii="Times New Roman"/>
          <w:b w:val="false"/>
          <w:i w:val="false"/>
          <w:color w:val="000000"/>
          <w:sz w:val="28"/>
        </w:rPr>
        <w:t>
      the registration number of the integrated circuit topology (the number of the certificate of state registration of the integrated circuit topology);</w:t>
      </w:r>
    </w:p>
    <w:p>
      <w:pPr>
        <w:spacing w:after="0"/>
        <w:ind w:left="0"/>
        <w:jc w:val="both"/>
      </w:pPr>
      <w:r>
        <w:rPr>
          <w:rFonts w:ascii="Times New Roman"/>
          <w:b w:val="false"/>
          <w:i w:val="false"/>
          <w:color w:val="000000"/>
          <w:sz w:val="28"/>
        </w:rPr>
        <w:t>
      the date of state registration of the integrated circuit topology;</w:t>
      </w:r>
    </w:p>
    <w:p>
      <w:pPr>
        <w:spacing w:after="0"/>
        <w:ind w:left="0"/>
        <w:jc w:val="both"/>
      </w:pPr>
      <w:r>
        <w:rPr>
          <w:rFonts w:ascii="Times New Roman"/>
          <w:b w:val="false"/>
          <w:i w:val="false"/>
          <w:color w:val="000000"/>
          <w:sz w:val="28"/>
        </w:rPr>
        <w:t>
      the number of the application for state registration of the integrated circuit topology;</w:t>
      </w:r>
    </w:p>
    <w:p>
      <w:pPr>
        <w:spacing w:after="0"/>
        <w:ind w:left="0"/>
        <w:jc w:val="both"/>
      </w:pPr>
      <w:r>
        <w:rPr>
          <w:rFonts w:ascii="Times New Roman"/>
          <w:b w:val="false"/>
          <w:i w:val="false"/>
          <w:color w:val="000000"/>
          <w:sz w:val="28"/>
        </w:rPr>
        <w:t xml:space="preserve">
      information on the right holder (right holders): the full name of the organization, the last and first name, patronymic (if any) of the individual with the indication of the code of the host country, residence address of the right holder (right holders); </w:t>
      </w:r>
    </w:p>
    <w:p>
      <w:pPr>
        <w:spacing w:after="0"/>
        <w:ind w:left="0"/>
        <w:jc w:val="both"/>
      </w:pPr>
      <w:r>
        <w:rPr>
          <w:rFonts w:ascii="Times New Roman"/>
          <w:b w:val="false"/>
          <w:i w:val="false"/>
          <w:color w:val="000000"/>
          <w:sz w:val="28"/>
        </w:rPr>
        <w:t xml:space="preserve">
      information on the author (authors): the last and first name, patronymic (if any) of the individual with the indication of the code of residence (if the author (authors) did not mind being indicated as such); </w:t>
      </w:r>
    </w:p>
    <w:p>
      <w:pPr>
        <w:spacing w:after="0"/>
        <w:ind w:left="0"/>
        <w:jc w:val="both"/>
      </w:pPr>
      <w:r>
        <w:rPr>
          <w:rFonts w:ascii="Times New Roman"/>
          <w:b w:val="false"/>
          <w:i w:val="false"/>
          <w:color w:val="000000"/>
          <w:sz w:val="28"/>
        </w:rPr>
        <w:t>
      the date of expiration of validity of the exclusive right;</w:t>
      </w:r>
    </w:p>
    <w:p>
      <w:pPr>
        <w:spacing w:after="0"/>
        <w:ind w:left="0"/>
        <w:jc w:val="both"/>
      </w:pPr>
      <w:r>
        <w:rPr>
          <w:rFonts w:ascii="Times New Roman"/>
          <w:b w:val="false"/>
          <w:i w:val="false"/>
          <w:color w:val="000000"/>
          <w:sz w:val="28"/>
        </w:rPr>
        <w:t>
      the abstract.</w:t>
      </w:r>
    </w:p>
    <w:p>
      <w:pPr>
        <w:spacing w:after="0"/>
        <w:ind w:left="0"/>
        <w:jc w:val="both"/>
      </w:pPr>
      <w:r>
        <w:rPr>
          <w:rFonts w:ascii="Times New Roman"/>
          <w:b w:val="false"/>
          <w:i w:val="false"/>
          <w:color w:val="000000"/>
          <w:sz w:val="28"/>
        </w:rPr>
        <w:t>
      Information relating to the registration of an integrated circuit topology shall be published by the expert organization after sending a relevant document of title.</w:t>
      </w:r>
    </w:p>
    <w:p>
      <w:pPr>
        <w:spacing w:after="0"/>
        <w:ind w:left="0"/>
        <w:jc w:val="both"/>
      </w:pPr>
      <w:r>
        <w:rPr>
          <w:rFonts w:ascii="Times New Roman"/>
          <w:b w:val="false"/>
          <w:i w:val="false"/>
          <w:color w:val="000000"/>
          <w:sz w:val="28"/>
        </w:rPr>
        <w:t xml:space="preserve">
      Clause 9. On making changes to the State Register of Integrated Circuit Topologies </w:t>
      </w:r>
    </w:p>
    <w:p>
      <w:pPr>
        <w:spacing w:after="0"/>
        <w:ind w:left="0"/>
        <w:jc w:val="both"/>
      </w:pPr>
      <w:r>
        <w:rPr>
          <w:rFonts w:ascii="Times New Roman"/>
          <w:b w:val="false"/>
          <w:i w:val="false"/>
          <w:color w:val="000000"/>
          <w:sz w:val="28"/>
        </w:rPr>
        <w:t>
      25. On the basis of changes made to the State Register of Integrated Circuit Topologies, the expert organization shall publish in the “Хабарлама - Notices” section such data as that:</w:t>
      </w:r>
    </w:p>
    <w:p>
      <w:pPr>
        <w:spacing w:after="0"/>
        <w:ind w:left="0"/>
        <w:jc w:val="both"/>
      </w:pPr>
      <w:r>
        <w:rPr>
          <w:rFonts w:ascii="Times New Roman"/>
          <w:b w:val="false"/>
          <w:i w:val="false"/>
          <w:color w:val="000000"/>
          <w:sz w:val="28"/>
        </w:rPr>
        <w:t xml:space="preserve">
      1) on the registered transfer of the right to an integrated circuit topology: </w:t>
      </w:r>
    </w:p>
    <w:p>
      <w:pPr>
        <w:spacing w:after="0"/>
        <w:ind w:left="0"/>
        <w:jc w:val="both"/>
      </w:pPr>
      <w:r>
        <w:rPr>
          <w:rFonts w:ascii="Times New Roman"/>
          <w:b w:val="false"/>
          <w:i w:val="false"/>
          <w:color w:val="000000"/>
          <w:sz w:val="28"/>
        </w:rPr>
        <w:t>
      the type of the agreement;</w:t>
      </w:r>
    </w:p>
    <w:p>
      <w:pPr>
        <w:spacing w:after="0"/>
        <w:ind w:left="0"/>
        <w:jc w:val="both"/>
      </w:pPr>
      <w:r>
        <w:rPr>
          <w:rFonts w:ascii="Times New Roman"/>
          <w:b w:val="false"/>
          <w:i w:val="false"/>
          <w:color w:val="000000"/>
          <w:sz w:val="28"/>
        </w:rPr>
        <w:t>
      the number of the agreement;</w:t>
      </w:r>
    </w:p>
    <w:p>
      <w:pPr>
        <w:spacing w:after="0"/>
        <w:ind w:left="0"/>
        <w:jc w:val="both"/>
      </w:pPr>
      <w:r>
        <w:rPr>
          <w:rFonts w:ascii="Times New Roman"/>
          <w:b w:val="false"/>
          <w:i w:val="false"/>
          <w:color w:val="000000"/>
          <w:sz w:val="28"/>
        </w:rPr>
        <w:t>
      the date of the agreement’s registration;</w:t>
      </w:r>
    </w:p>
    <w:p>
      <w:pPr>
        <w:spacing w:after="0"/>
        <w:ind w:left="0"/>
        <w:jc w:val="both"/>
      </w:pPr>
      <w:r>
        <w:rPr>
          <w:rFonts w:ascii="Times New Roman"/>
          <w:b w:val="false"/>
          <w:i w:val="false"/>
          <w:color w:val="000000"/>
          <w:sz w:val="28"/>
        </w:rPr>
        <w:t>
      the name of the integrated circuit;</w:t>
      </w:r>
    </w:p>
    <w:p>
      <w:pPr>
        <w:spacing w:after="0"/>
        <w:ind w:left="0"/>
        <w:jc w:val="both"/>
      </w:pPr>
      <w:r>
        <w:rPr>
          <w:rFonts w:ascii="Times New Roman"/>
          <w:b w:val="false"/>
          <w:i w:val="false"/>
          <w:color w:val="000000"/>
          <w:sz w:val="28"/>
        </w:rPr>
        <w:t xml:space="preserve">
      the registration number; </w:t>
      </w:r>
    </w:p>
    <w:p>
      <w:pPr>
        <w:spacing w:after="0"/>
        <w:ind w:left="0"/>
        <w:jc w:val="both"/>
      </w:pPr>
      <w:r>
        <w:rPr>
          <w:rFonts w:ascii="Times New Roman"/>
          <w:b w:val="false"/>
          <w:i w:val="false"/>
          <w:color w:val="000000"/>
          <w:sz w:val="28"/>
        </w:rPr>
        <w:t>
      the application’s number;</w:t>
      </w:r>
    </w:p>
    <w:p>
      <w:pPr>
        <w:spacing w:after="0"/>
        <w:ind w:left="0"/>
        <w:jc w:val="both"/>
      </w:pPr>
      <w:r>
        <w:rPr>
          <w:rFonts w:ascii="Times New Roman"/>
          <w:b w:val="false"/>
          <w:i w:val="false"/>
          <w:color w:val="000000"/>
          <w:sz w:val="28"/>
        </w:rPr>
        <w:t>
      the owner;</w:t>
      </w:r>
    </w:p>
    <w:p>
      <w:pPr>
        <w:spacing w:after="0"/>
        <w:ind w:left="0"/>
        <w:jc w:val="both"/>
      </w:pPr>
      <w:r>
        <w:rPr>
          <w:rFonts w:ascii="Times New Roman"/>
          <w:b w:val="false"/>
          <w:i w:val="false"/>
          <w:color w:val="000000"/>
          <w:sz w:val="28"/>
        </w:rPr>
        <w:t>
      the author (authors)</w:t>
      </w:r>
    </w:p>
    <w:p>
      <w:pPr>
        <w:spacing w:after="0"/>
        <w:ind w:left="0"/>
        <w:jc w:val="both"/>
      </w:pPr>
      <w:r>
        <w:rPr>
          <w:rFonts w:ascii="Times New Roman"/>
          <w:b w:val="false"/>
          <w:i w:val="false"/>
          <w:color w:val="000000"/>
          <w:sz w:val="28"/>
        </w:rPr>
        <w:t>
      the owner’s address;</w:t>
      </w:r>
    </w:p>
    <w:p>
      <w:pPr>
        <w:spacing w:after="0"/>
        <w:ind w:left="0"/>
        <w:jc w:val="both"/>
      </w:pPr>
      <w:r>
        <w:rPr>
          <w:rFonts w:ascii="Times New Roman"/>
          <w:b w:val="false"/>
          <w:i w:val="false"/>
          <w:color w:val="000000"/>
          <w:sz w:val="28"/>
        </w:rPr>
        <w:t>
      the assignee;</w:t>
      </w:r>
    </w:p>
    <w:p>
      <w:pPr>
        <w:spacing w:after="0"/>
        <w:ind w:left="0"/>
        <w:jc w:val="both"/>
      </w:pPr>
      <w:r>
        <w:rPr>
          <w:rFonts w:ascii="Times New Roman"/>
          <w:b w:val="false"/>
          <w:i w:val="false"/>
          <w:color w:val="000000"/>
          <w:sz w:val="28"/>
        </w:rPr>
        <w:t>
      the assignee’s address.</w:t>
      </w:r>
    </w:p>
    <w:p>
      <w:pPr>
        <w:spacing w:after="0"/>
        <w:ind w:left="0"/>
        <w:jc w:val="both"/>
      </w:pPr>
      <w:r>
        <w:rPr>
          <w:rFonts w:ascii="Times New Roman"/>
          <w:b w:val="false"/>
          <w:i w:val="false"/>
          <w:color w:val="000000"/>
          <w:sz w:val="28"/>
        </w:rPr>
        <w:t>
      2) on the registered granting of the right to use a trademark:</w:t>
      </w:r>
    </w:p>
    <w:p>
      <w:pPr>
        <w:spacing w:after="0"/>
        <w:ind w:left="0"/>
        <w:jc w:val="both"/>
      </w:pPr>
      <w:r>
        <w:rPr>
          <w:rFonts w:ascii="Times New Roman"/>
          <w:b w:val="false"/>
          <w:i w:val="false"/>
          <w:color w:val="000000"/>
          <w:sz w:val="28"/>
        </w:rPr>
        <w:t>
      the number of the agreement;</w:t>
      </w:r>
    </w:p>
    <w:p>
      <w:pPr>
        <w:spacing w:after="0"/>
        <w:ind w:left="0"/>
        <w:jc w:val="both"/>
      </w:pPr>
      <w:r>
        <w:rPr>
          <w:rFonts w:ascii="Times New Roman"/>
          <w:b w:val="false"/>
          <w:i w:val="false"/>
          <w:color w:val="000000"/>
          <w:sz w:val="28"/>
        </w:rPr>
        <w:t>
      the date of the agreement’s registration;</w:t>
      </w:r>
    </w:p>
    <w:p>
      <w:pPr>
        <w:spacing w:after="0"/>
        <w:ind w:left="0"/>
        <w:jc w:val="both"/>
      </w:pPr>
      <w:r>
        <w:rPr>
          <w:rFonts w:ascii="Times New Roman"/>
          <w:b w:val="false"/>
          <w:i w:val="false"/>
          <w:color w:val="000000"/>
          <w:sz w:val="28"/>
        </w:rPr>
        <w:t>
      the name of the integrated circuit;</w:t>
      </w:r>
    </w:p>
    <w:p>
      <w:pPr>
        <w:spacing w:after="0"/>
        <w:ind w:left="0"/>
        <w:jc w:val="both"/>
      </w:pPr>
      <w:r>
        <w:rPr>
          <w:rFonts w:ascii="Times New Roman"/>
          <w:b w:val="false"/>
          <w:i w:val="false"/>
          <w:color w:val="000000"/>
          <w:sz w:val="28"/>
        </w:rPr>
        <w:t xml:space="preserve">
      the registration number; </w:t>
      </w:r>
    </w:p>
    <w:p>
      <w:pPr>
        <w:spacing w:after="0"/>
        <w:ind w:left="0"/>
        <w:jc w:val="both"/>
      </w:pPr>
      <w:r>
        <w:rPr>
          <w:rFonts w:ascii="Times New Roman"/>
          <w:b w:val="false"/>
          <w:i w:val="false"/>
          <w:color w:val="000000"/>
          <w:sz w:val="28"/>
        </w:rPr>
        <w:t xml:space="preserve">
      the application’s number; </w:t>
      </w:r>
    </w:p>
    <w:p>
      <w:pPr>
        <w:spacing w:after="0"/>
        <w:ind w:left="0"/>
        <w:jc w:val="both"/>
      </w:pPr>
      <w:r>
        <w:rPr>
          <w:rFonts w:ascii="Times New Roman"/>
          <w:b w:val="false"/>
          <w:i w:val="false"/>
          <w:color w:val="000000"/>
          <w:sz w:val="28"/>
        </w:rPr>
        <w:t>
      the licensor (sublicensor);</w:t>
      </w:r>
    </w:p>
    <w:p>
      <w:pPr>
        <w:spacing w:after="0"/>
        <w:ind w:left="0"/>
        <w:jc w:val="both"/>
      </w:pPr>
      <w:r>
        <w:rPr>
          <w:rFonts w:ascii="Times New Roman"/>
          <w:b w:val="false"/>
          <w:i w:val="false"/>
          <w:color w:val="000000"/>
          <w:sz w:val="28"/>
        </w:rPr>
        <w:t>
      the licensor’s (sublicensor’s) address;</w:t>
      </w:r>
    </w:p>
    <w:p>
      <w:pPr>
        <w:spacing w:after="0"/>
        <w:ind w:left="0"/>
        <w:jc w:val="both"/>
      </w:pPr>
      <w:r>
        <w:rPr>
          <w:rFonts w:ascii="Times New Roman"/>
          <w:b w:val="false"/>
          <w:i w:val="false"/>
          <w:color w:val="000000"/>
          <w:sz w:val="28"/>
        </w:rPr>
        <w:t>
      the licensee (sublicensee);</w:t>
      </w:r>
    </w:p>
    <w:p>
      <w:pPr>
        <w:spacing w:after="0"/>
        <w:ind w:left="0"/>
        <w:jc w:val="both"/>
      </w:pPr>
      <w:r>
        <w:rPr>
          <w:rFonts w:ascii="Times New Roman"/>
          <w:b w:val="false"/>
          <w:i w:val="false"/>
          <w:color w:val="000000"/>
          <w:sz w:val="28"/>
        </w:rPr>
        <w:t>
      the licensee’s (sublicensee’s) address.</w:t>
      </w:r>
    </w:p>
    <w:p>
      <w:pPr>
        <w:spacing w:after="0"/>
        <w:ind w:left="0"/>
        <w:jc w:val="both"/>
      </w:pPr>
      <w:r>
        <w:rPr>
          <w:rFonts w:ascii="Times New Roman"/>
          <w:b w:val="false"/>
          <w:i w:val="false"/>
          <w:color w:val="000000"/>
          <w:sz w:val="28"/>
        </w:rPr>
        <w:t>
      3) on additional agreements to the registered agreements:</w:t>
      </w:r>
    </w:p>
    <w:p>
      <w:pPr>
        <w:spacing w:after="0"/>
        <w:ind w:left="0"/>
        <w:jc w:val="both"/>
      </w:pPr>
      <w:r>
        <w:rPr>
          <w:rFonts w:ascii="Times New Roman"/>
          <w:b w:val="false"/>
          <w:i w:val="false"/>
          <w:color w:val="000000"/>
          <w:sz w:val="28"/>
        </w:rPr>
        <w:t>
      the number of the agreement;</w:t>
      </w:r>
    </w:p>
    <w:p>
      <w:pPr>
        <w:spacing w:after="0"/>
        <w:ind w:left="0"/>
        <w:jc w:val="both"/>
      </w:pPr>
      <w:r>
        <w:rPr>
          <w:rFonts w:ascii="Times New Roman"/>
          <w:b w:val="false"/>
          <w:i w:val="false"/>
          <w:color w:val="000000"/>
          <w:sz w:val="28"/>
        </w:rPr>
        <w:t>
      the date of the agreement’s registration;</w:t>
      </w:r>
    </w:p>
    <w:p>
      <w:pPr>
        <w:spacing w:after="0"/>
        <w:ind w:left="0"/>
        <w:jc w:val="both"/>
      </w:pPr>
      <w:r>
        <w:rPr>
          <w:rFonts w:ascii="Times New Roman"/>
          <w:b w:val="false"/>
          <w:i w:val="false"/>
          <w:color w:val="000000"/>
          <w:sz w:val="28"/>
        </w:rPr>
        <w:t>
      the name of the integrated circuit;</w:t>
      </w:r>
    </w:p>
    <w:p>
      <w:pPr>
        <w:spacing w:after="0"/>
        <w:ind w:left="0"/>
        <w:jc w:val="both"/>
      </w:pPr>
      <w:r>
        <w:rPr>
          <w:rFonts w:ascii="Times New Roman"/>
          <w:b w:val="false"/>
          <w:i w:val="false"/>
          <w:color w:val="000000"/>
          <w:sz w:val="28"/>
        </w:rPr>
        <w:t xml:space="preserve">
      the registration number; </w:t>
      </w:r>
    </w:p>
    <w:p>
      <w:pPr>
        <w:spacing w:after="0"/>
        <w:ind w:left="0"/>
        <w:jc w:val="both"/>
      </w:pPr>
      <w:r>
        <w:rPr>
          <w:rFonts w:ascii="Times New Roman"/>
          <w:b w:val="false"/>
          <w:i w:val="false"/>
          <w:color w:val="000000"/>
          <w:sz w:val="28"/>
        </w:rPr>
        <w:t>
      the application’s number;</w:t>
      </w:r>
    </w:p>
    <w:p>
      <w:pPr>
        <w:spacing w:after="0"/>
        <w:ind w:left="0"/>
        <w:jc w:val="both"/>
      </w:pPr>
      <w:r>
        <w:rPr>
          <w:rFonts w:ascii="Times New Roman"/>
          <w:b w:val="false"/>
          <w:i w:val="false"/>
          <w:color w:val="000000"/>
          <w:sz w:val="28"/>
        </w:rPr>
        <w:t>
      the licensor (sublicensor);</w:t>
      </w:r>
    </w:p>
    <w:p>
      <w:pPr>
        <w:spacing w:after="0"/>
        <w:ind w:left="0"/>
        <w:jc w:val="both"/>
      </w:pPr>
      <w:r>
        <w:rPr>
          <w:rFonts w:ascii="Times New Roman"/>
          <w:b w:val="false"/>
          <w:i w:val="false"/>
          <w:color w:val="000000"/>
          <w:sz w:val="28"/>
        </w:rPr>
        <w:t>
      the licensor’s (sublicensor’s) address;</w:t>
      </w:r>
    </w:p>
    <w:p>
      <w:pPr>
        <w:spacing w:after="0"/>
        <w:ind w:left="0"/>
        <w:jc w:val="both"/>
      </w:pPr>
      <w:r>
        <w:rPr>
          <w:rFonts w:ascii="Times New Roman"/>
          <w:b w:val="false"/>
          <w:i w:val="false"/>
          <w:color w:val="000000"/>
          <w:sz w:val="28"/>
        </w:rPr>
        <w:t>
      the licensee (sublicensee);</w:t>
      </w:r>
    </w:p>
    <w:p>
      <w:pPr>
        <w:spacing w:after="0"/>
        <w:ind w:left="0"/>
        <w:jc w:val="both"/>
      </w:pPr>
      <w:r>
        <w:rPr>
          <w:rFonts w:ascii="Times New Roman"/>
          <w:b w:val="false"/>
          <w:i w:val="false"/>
          <w:color w:val="000000"/>
          <w:sz w:val="28"/>
        </w:rPr>
        <w:t>
      the licensee’s (sublicensee’s) address.</w:t>
      </w:r>
    </w:p>
    <w:p>
      <w:pPr>
        <w:spacing w:after="0"/>
        <w:ind w:left="0"/>
        <w:jc w:val="both"/>
      </w:pPr>
      <w:r>
        <w:rPr>
          <w:rFonts w:ascii="Times New Roman"/>
          <w:b w:val="false"/>
          <w:i w:val="false"/>
          <w:color w:val="000000"/>
          <w:sz w:val="28"/>
        </w:rPr>
        <w:t xml:space="preserve">
      4) on invalidation, in whole or in part, of the registration of an integrated circuit topology: </w:t>
      </w:r>
    </w:p>
    <w:p>
      <w:pPr>
        <w:spacing w:after="0"/>
        <w:ind w:left="0"/>
        <w:jc w:val="both"/>
      </w:pPr>
      <w:r>
        <w:rPr>
          <w:rFonts w:ascii="Times New Roman"/>
          <w:b w:val="false"/>
          <w:i w:val="false"/>
          <w:color w:val="000000"/>
          <w:sz w:val="28"/>
        </w:rPr>
        <w:t>
      the name of the integrated circuit;</w:t>
      </w:r>
    </w:p>
    <w:p>
      <w:pPr>
        <w:spacing w:after="0"/>
        <w:ind w:left="0"/>
        <w:jc w:val="both"/>
      </w:pPr>
      <w:r>
        <w:rPr>
          <w:rFonts w:ascii="Times New Roman"/>
          <w:b w:val="false"/>
          <w:i w:val="false"/>
          <w:color w:val="000000"/>
          <w:sz w:val="28"/>
        </w:rPr>
        <w:t xml:space="preserve">
      the registration number; </w:t>
      </w:r>
    </w:p>
    <w:p>
      <w:pPr>
        <w:spacing w:after="0"/>
        <w:ind w:left="0"/>
        <w:jc w:val="both"/>
      </w:pPr>
      <w:r>
        <w:rPr>
          <w:rFonts w:ascii="Times New Roman"/>
          <w:b w:val="false"/>
          <w:i w:val="false"/>
          <w:color w:val="000000"/>
          <w:sz w:val="28"/>
        </w:rPr>
        <w:t>
      the application’s number;</w:t>
      </w:r>
    </w:p>
    <w:p>
      <w:pPr>
        <w:spacing w:after="0"/>
        <w:ind w:left="0"/>
        <w:jc w:val="both"/>
      </w:pPr>
      <w:r>
        <w:rPr>
          <w:rFonts w:ascii="Times New Roman"/>
          <w:b w:val="false"/>
          <w:i w:val="false"/>
          <w:color w:val="000000"/>
          <w:sz w:val="28"/>
        </w:rPr>
        <w:t>
      the filing date;</w:t>
      </w:r>
    </w:p>
    <w:p>
      <w:pPr>
        <w:spacing w:after="0"/>
        <w:ind w:left="0"/>
        <w:jc w:val="both"/>
      </w:pPr>
      <w:r>
        <w:rPr>
          <w:rFonts w:ascii="Times New Roman"/>
          <w:b w:val="false"/>
          <w:i w:val="false"/>
          <w:color w:val="000000"/>
          <w:sz w:val="28"/>
        </w:rPr>
        <w:t>
      the owner;</w:t>
      </w:r>
    </w:p>
    <w:p>
      <w:pPr>
        <w:spacing w:after="0"/>
        <w:ind w:left="0"/>
        <w:jc w:val="both"/>
      </w:pPr>
      <w:r>
        <w:rPr>
          <w:rFonts w:ascii="Times New Roman"/>
          <w:b w:val="false"/>
          <w:i w:val="false"/>
          <w:color w:val="000000"/>
          <w:sz w:val="28"/>
        </w:rPr>
        <w:t>
      the authors;</w:t>
      </w:r>
    </w:p>
    <w:p>
      <w:pPr>
        <w:spacing w:after="0"/>
        <w:ind w:left="0"/>
        <w:jc w:val="both"/>
      </w:pPr>
      <w:r>
        <w:rPr>
          <w:rFonts w:ascii="Times New Roman"/>
          <w:b w:val="false"/>
          <w:i w:val="false"/>
          <w:color w:val="000000"/>
          <w:sz w:val="28"/>
        </w:rPr>
        <w:t>
      subject matter and reasons for termination.</w:t>
      </w:r>
    </w:p>
    <w:p>
      <w:pPr>
        <w:spacing w:after="0"/>
        <w:ind w:left="0"/>
        <w:jc w:val="both"/>
      </w:pPr>
      <w:r>
        <w:rPr>
          <w:rFonts w:ascii="Times New Roman"/>
          <w:b w:val="false"/>
          <w:i w:val="false"/>
          <w:color w:val="000000"/>
          <w:sz w:val="28"/>
        </w:rPr>
        <w:t>
      5) on termination of validity of the registration of an integrated circuit topology:</w:t>
      </w:r>
    </w:p>
    <w:p>
      <w:pPr>
        <w:spacing w:after="0"/>
        <w:ind w:left="0"/>
        <w:jc w:val="both"/>
      </w:pPr>
      <w:r>
        <w:rPr>
          <w:rFonts w:ascii="Times New Roman"/>
          <w:b w:val="false"/>
          <w:i w:val="false"/>
          <w:color w:val="000000"/>
          <w:sz w:val="28"/>
        </w:rPr>
        <w:t>
      the name of the integrated circuit;</w:t>
      </w:r>
    </w:p>
    <w:p>
      <w:pPr>
        <w:spacing w:after="0"/>
        <w:ind w:left="0"/>
        <w:jc w:val="both"/>
      </w:pPr>
      <w:r>
        <w:rPr>
          <w:rFonts w:ascii="Times New Roman"/>
          <w:b w:val="false"/>
          <w:i w:val="false"/>
          <w:color w:val="000000"/>
          <w:sz w:val="28"/>
        </w:rPr>
        <w:t xml:space="preserve">
      the registration number; </w:t>
      </w:r>
    </w:p>
    <w:p>
      <w:pPr>
        <w:spacing w:after="0"/>
        <w:ind w:left="0"/>
        <w:jc w:val="both"/>
      </w:pPr>
      <w:r>
        <w:rPr>
          <w:rFonts w:ascii="Times New Roman"/>
          <w:b w:val="false"/>
          <w:i w:val="false"/>
          <w:color w:val="000000"/>
          <w:sz w:val="28"/>
        </w:rPr>
        <w:t>
      the application’s number;</w:t>
      </w:r>
    </w:p>
    <w:p>
      <w:pPr>
        <w:spacing w:after="0"/>
        <w:ind w:left="0"/>
        <w:jc w:val="both"/>
      </w:pPr>
      <w:r>
        <w:rPr>
          <w:rFonts w:ascii="Times New Roman"/>
          <w:b w:val="false"/>
          <w:i w:val="false"/>
          <w:color w:val="000000"/>
          <w:sz w:val="28"/>
        </w:rPr>
        <w:t>
      the filing date;</w:t>
      </w:r>
    </w:p>
    <w:p>
      <w:pPr>
        <w:spacing w:after="0"/>
        <w:ind w:left="0"/>
        <w:jc w:val="both"/>
      </w:pPr>
      <w:r>
        <w:rPr>
          <w:rFonts w:ascii="Times New Roman"/>
          <w:b w:val="false"/>
          <w:i w:val="false"/>
          <w:color w:val="000000"/>
          <w:sz w:val="28"/>
        </w:rPr>
        <w:t>
      the owner;</w:t>
      </w:r>
    </w:p>
    <w:p>
      <w:pPr>
        <w:spacing w:after="0"/>
        <w:ind w:left="0"/>
        <w:jc w:val="both"/>
      </w:pPr>
      <w:r>
        <w:rPr>
          <w:rFonts w:ascii="Times New Roman"/>
          <w:b w:val="false"/>
          <w:i w:val="false"/>
          <w:color w:val="000000"/>
          <w:sz w:val="28"/>
        </w:rPr>
        <w:t>
      the authors;</w:t>
      </w:r>
    </w:p>
    <w:p>
      <w:pPr>
        <w:spacing w:after="0"/>
        <w:ind w:left="0"/>
        <w:jc w:val="both"/>
      </w:pPr>
      <w:r>
        <w:rPr>
          <w:rFonts w:ascii="Times New Roman"/>
          <w:b w:val="false"/>
          <w:i w:val="false"/>
          <w:color w:val="000000"/>
          <w:sz w:val="28"/>
        </w:rPr>
        <w:t>
      subject matter and reasons for termination.</w:t>
      </w:r>
    </w:p>
    <w:p>
      <w:pPr>
        <w:spacing w:after="0"/>
        <w:ind w:left="0"/>
        <w:jc w:val="both"/>
      </w:pPr>
      <w:r>
        <w:rPr>
          <w:rFonts w:ascii="Times New Roman"/>
          <w:b w:val="false"/>
          <w:i w:val="false"/>
          <w:color w:val="000000"/>
          <w:sz w:val="28"/>
        </w:rPr>
        <w:t>
      6) on extension of validity of the registration of an integrated circuit topology:</w:t>
      </w:r>
    </w:p>
    <w:p>
      <w:pPr>
        <w:spacing w:after="0"/>
        <w:ind w:left="0"/>
        <w:jc w:val="both"/>
      </w:pPr>
      <w:r>
        <w:rPr>
          <w:rFonts w:ascii="Times New Roman"/>
          <w:b w:val="false"/>
          <w:i w:val="false"/>
          <w:color w:val="000000"/>
          <w:sz w:val="28"/>
        </w:rPr>
        <w:t>
      the registration number;</w:t>
      </w:r>
    </w:p>
    <w:p>
      <w:pPr>
        <w:spacing w:after="0"/>
        <w:ind w:left="0"/>
        <w:jc w:val="both"/>
      </w:pPr>
      <w:r>
        <w:rPr>
          <w:rFonts w:ascii="Times New Roman"/>
          <w:b w:val="false"/>
          <w:i w:val="false"/>
          <w:color w:val="000000"/>
          <w:sz w:val="28"/>
        </w:rPr>
        <w:t>
      the owner’s names;</w:t>
      </w:r>
    </w:p>
    <w:p>
      <w:pPr>
        <w:spacing w:after="0"/>
        <w:ind w:left="0"/>
        <w:jc w:val="both"/>
      </w:pPr>
      <w:r>
        <w:rPr>
          <w:rFonts w:ascii="Times New Roman"/>
          <w:b w:val="false"/>
          <w:i w:val="false"/>
          <w:color w:val="000000"/>
          <w:sz w:val="28"/>
        </w:rPr>
        <w:t>
      the date until which the patent has been extended.</w:t>
      </w:r>
    </w:p>
    <w:p>
      <w:pPr>
        <w:spacing w:after="0"/>
        <w:ind w:left="0"/>
        <w:jc w:val="both"/>
      </w:pPr>
      <w:r>
        <w:rPr>
          <w:rFonts w:ascii="Times New Roman"/>
          <w:b w:val="false"/>
          <w:i w:val="false"/>
          <w:color w:val="000000"/>
          <w:sz w:val="28"/>
        </w:rPr>
        <w:t xml:space="preserve">
      7) on changes in the name of the owner in connection with its reorganization (succession) and/or in its location address: </w:t>
      </w:r>
    </w:p>
    <w:p>
      <w:pPr>
        <w:spacing w:after="0"/>
        <w:ind w:left="0"/>
        <w:jc w:val="both"/>
      </w:pPr>
      <w:r>
        <w:rPr>
          <w:rFonts w:ascii="Times New Roman"/>
          <w:b w:val="false"/>
          <w:i w:val="false"/>
          <w:color w:val="000000"/>
          <w:sz w:val="28"/>
        </w:rPr>
        <w:t>
      the registration number;</w:t>
      </w:r>
    </w:p>
    <w:p>
      <w:pPr>
        <w:spacing w:after="0"/>
        <w:ind w:left="0"/>
        <w:jc w:val="both"/>
      </w:pPr>
      <w:r>
        <w:rPr>
          <w:rFonts w:ascii="Times New Roman"/>
          <w:b w:val="false"/>
          <w:i w:val="false"/>
          <w:color w:val="000000"/>
          <w:sz w:val="28"/>
        </w:rPr>
        <w:t xml:space="preserve">
      the new name of the owner of the registered trademark. </w:t>
      </w:r>
    </w:p>
    <w:p>
      <w:pPr>
        <w:spacing w:after="0"/>
        <w:ind w:left="0"/>
        <w:jc w:val="both"/>
      </w:pPr>
      <w:r>
        <w:rPr>
          <w:rFonts w:ascii="Times New Roman"/>
          <w:b w:val="false"/>
          <w:i w:val="false"/>
          <w:color w:val="000000"/>
          <w:sz w:val="28"/>
        </w:rPr>
        <w:t>
      8) on changes in the last and first names, patronymic (if any) of the owner and/or his/her location address:</w:t>
      </w:r>
    </w:p>
    <w:p>
      <w:pPr>
        <w:spacing w:after="0"/>
        <w:ind w:left="0"/>
        <w:jc w:val="both"/>
      </w:pPr>
      <w:r>
        <w:rPr>
          <w:rFonts w:ascii="Times New Roman"/>
          <w:b w:val="false"/>
          <w:i w:val="false"/>
          <w:color w:val="000000"/>
          <w:sz w:val="28"/>
        </w:rPr>
        <w:t>
      the registration number;</w:t>
      </w:r>
    </w:p>
    <w:p>
      <w:pPr>
        <w:spacing w:after="0"/>
        <w:ind w:left="0"/>
        <w:jc w:val="both"/>
      </w:pPr>
      <w:r>
        <w:rPr>
          <w:rFonts w:ascii="Times New Roman"/>
          <w:b w:val="false"/>
          <w:i w:val="false"/>
          <w:color w:val="000000"/>
          <w:sz w:val="28"/>
        </w:rPr>
        <w:t xml:space="preserve">
      the new name of the owner of the registered trademark and/or location address; </w:t>
      </w:r>
    </w:p>
    <w:p>
      <w:pPr>
        <w:spacing w:after="0"/>
        <w:ind w:left="0"/>
        <w:jc w:val="both"/>
      </w:pPr>
      <w:r>
        <w:rPr>
          <w:rFonts w:ascii="Times New Roman"/>
          <w:b w:val="false"/>
          <w:i w:val="false"/>
          <w:color w:val="000000"/>
          <w:sz w:val="28"/>
        </w:rPr>
        <w:t>
      9) on correction of obvious and technical errors, as well as other changes relating to the registration of a trademark:</w:t>
      </w:r>
    </w:p>
    <w:p>
      <w:pPr>
        <w:spacing w:after="0"/>
        <w:ind w:left="0"/>
        <w:jc w:val="both"/>
      </w:pPr>
      <w:r>
        <w:rPr>
          <w:rFonts w:ascii="Times New Roman"/>
          <w:b w:val="false"/>
          <w:i w:val="false"/>
          <w:color w:val="000000"/>
          <w:sz w:val="28"/>
        </w:rPr>
        <w:t>
      the registration number;</w:t>
      </w:r>
    </w:p>
    <w:p>
      <w:pPr>
        <w:spacing w:after="0"/>
        <w:ind w:left="0"/>
        <w:jc w:val="both"/>
      </w:pPr>
      <w:r>
        <w:rPr>
          <w:rFonts w:ascii="Times New Roman"/>
          <w:b w:val="false"/>
          <w:i w:val="false"/>
          <w:color w:val="000000"/>
          <w:sz w:val="28"/>
        </w:rPr>
        <w:t>
      description of the corrected data.</w:t>
      </w:r>
    </w:p>
    <w:p>
      <w:pPr>
        <w:spacing w:after="0"/>
        <w:ind w:left="0"/>
        <w:jc w:val="both"/>
      </w:pPr>
      <w:r>
        <w:rPr>
          <w:rFonts w:ascii="Times New Roman"/>
          <w:b w:val="false"/>
          <w:i w:val="false"/>
          <w:color w:val="000000"/>
          <w:sz w:val="28"/>
        </w:rPr>
        <w:t xml:space="preserve">
      Changes relating to the registration, except for changes in the representative’s mailing address, shall be sent for publication in the bulletin in the form of notices. </w:t>
      </w:r>
    </w:p>
    <w:p>
      <w:pPr>
        <w:spacing w:after="0"/>
        <w:ind w:left="0"/>
        <w:jc w:val="both"/>
      </w:pPr>
      <w:r>
        <w:rPr>
          <w:rFonts w:ascii="Times New Roman"/>
          <w:b w:val="false"/>
          <w:i w:val="false"/>
          <w:color w:val="000000"/>
          <w:sz w:val="28"/>
        </w:rPr>
        <w:t>
      Information relating to making changes to the State Register of Integrated Circuit Topologies shall be published by the expert organization after sending a relevant notification.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