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9c2e" w14:textId="45d9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areas of training of personnel with higher and postgraduate education, the training in which in the form of externship and online training is prohibited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2, 2018 № 530. Registered with the Ministry of Justice of the Republic of Kazakhstan on October 9, 2018 № 17513.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the order of the Minister of Science and Higher Education of the Republic of Kazakhstan dated 13.09.2022 No. 44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subparagraph 14-3) of Article 5 of the Law of the Republic of Kazakhstan of July 27, 2007 "On Education" I hereby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List of areas of training of personnel with higher and postgraduate education, the training in which in the form of externship and online training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as amended by the order of the Minister of Science and Higher Education of the Republic of Kazakhstan dated 13.09.2022 No. 44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accordance with the statutory procedure of the Republic of Kazakhstan, the Department of Higher and Postgraduate Education of the Ministry of Education and Science of the Republic of Kazakhstan (Toibayev A.Zh.)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both in the Kazakh and Russian languages to the Republican State Enterprise on the Right of Economic Management of the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the submission of the information on the implementation of measures provided for in subparagraphs 1), 2) and 3) of this paragraph to the Department of Legal Service and International Cooperation of the Ministry of Education and Science of the Republic of Kazakhstan.</w:t>
      </w:r>
    </w:p>
    <w:p>
      <w:pPr>
        <w:spacing w:after="0"/>
        <w:ind w:left="0"/>
        <w:jc w:val="both"/>
      </w:pPr>
      <w:r>
        <w:rPr>
          <w:rFonts w:ascii="Times New Roman"/>
          <w:b w:val="false"/>
          <w:i w:val="false"/>
          <w:color w:val="000000"/>
          <w:sz w:val="28"/>
        </w:rPr>
        <w:t>
      3. Control over the execution of this order shall be entrusted to Aimagambetov A.K., Vice-Minister of Education and Science of the Republic of Kazakhstan.</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w:t>
            </w:r>
          </w:p>
          <w:p>
            <w:pPr>
              <w:spacing w:after="20"/>
              <w:ind w:left="20"/>
              <w:jc w:val="both"/>
            </w:pPr>
          </w:p>
          <w:p>
            <w:pPr>
              <w:spacing w:after="20"/>
              <w:ind w:left="20"/>
              <w:jc w:val="both"/>
            </w:pPr>
            <w:r>
              <w:rPr>
                <w:rFonts w:ascii="Times New Roman"/>
                <w:b w:val="false"/>
                <w:i/>
                <w:color w:val="000000"/>
                <w:sz w:val="20"/>
              </w:rPr>
              <w:t>Science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530 of the Minister</w:t>
            </w:r>
            <w:r>
              <w:br/>
            </w:r>
            <w:r>
              <w:rPr>
                <w:rFonts w:ascii="Times New Roman"/>
                <w:b w:val="false"/>
                <w:i w:val="false"/>
                <w:color w:val="000000"/>
                <w:sz w:val="20"/>
              </w:rPr>
              <w:t>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of October 2, 2018,</w:t>
            </w:r>
          </w:p>
        </w:tc>
      </w:tr>
    </w:tbl>
    <w:p>
      <w:pPr>
        <w:spacing w:after="0"/>
        <w:ind w:left="0"/>
        <w:jc w:val="left"/>
      </w:pPr>
      <w:r>
        <w:rPr>
          <w:rFonts w:ascii="Times New Roman"/>
          <w:b/>
          <w:i w:val="false"/>
          <w:color w:val="000000"/>
        </w:rPr>
        <w:t xml:space="preserve"> List of areas of training of personnel with higher and postgraduate education, </w:t>
      </w:r>
      <w:r>
        <w:br/>
      </w:r>
      <w:r>
        <w:rPr>
          <w:rFonts w:ascii="Times New Roman"/>
          <w:b/>
          <w:i w:val="false"/>
          <w:color w:val="000000"/>
        </w:rPr>
        <w:t>the training in which in the form of externship and online training is prohibited</w:t>
      </w:r>
    </w:p>
    <w:p>
      <w:pPr>
        <w:spacing w:after="0"/>
        <w:ind w:left="0"/>
        <w:jc w:val="both"/>
      </w:pPr>
      <w:r>
        <w:rPr>
          <w:rFonts w:ascii="Times New Roman"/>
          <w:b w:val="false"/>
          <w:i w:val="false"/>
          <w:color w:val="ff0000"/>
          <w:sz w:val="28"/>
        </w:rPr>
        <w:t>
      Footnote. The List as amended by the order of the Minister of Science and Higher Education of the Republic of Kazakhstan dated 13.09.2022 No. 44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area of training of personnel with higher and postgraduate education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externship: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Areas of training in higher education – Bachelor degree program: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Telecommunications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and the Practice of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and processing industries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 and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certification and metrology (branch-wise)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Agronomy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 Breeding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planning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Resources and Water Use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Hygiene and Ocupational Safety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security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 of online training: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Areas of training in higher education – Bachelor's degree program: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psychology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of preschool education and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without subject specialization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with a subject specialization in general development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in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in the Humanities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in languages and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social pedagogy and self-cognition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Pedagogy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and the Practice of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and processing industries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 and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certification and metrology (branch-wise)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security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Areas of training in higher education – Master's degree program: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psychology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of preschool education and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without subject specialization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with a subject specialization in general development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in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in the Humanities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in languages and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social pedagogy and self-cognition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Pedagogy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7M071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and the Practice of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7M072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and processing industries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 and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certification and metrology (branch-wise)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7М091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security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Areas of training in higher education – Residency: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7R011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Areas of training in higher education – Doctoral program: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psychology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of preschool education and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without subject specialization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with a subject specialization in general development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in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in the Humanities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in languages and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social pedagogy and self-cognition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Pedagogy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and the Practice of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8D072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and processing industries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 and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certification and metrology (branch-wise)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security</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