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4641" w14:textId="17546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on Holding a Competition for the Grant "The Best Organization of Technical and Vocational, Post-Secondary Education" with the Establishment of the Size of the Grant and the procedure for awarding it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September 21, 2018 № 484. It is registered in the Ministry of Justice of the Republic of Kazakhstan on October 12, 2018 № 17540.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25) of Article 5 of Article 5 of the Law of the Republic of Kazakhstan "On Education",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Minister of Enlightenment of the Republic of Kazakhstan dated 07.08.2023 № 250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attached Rules on Holding a Competition for the Grant "The Best Organization of Technical and Vocational, Post-Secondary Education" with the establishment of the size of the grant and the procedure for awarding it shall be approved.</w:t>
      </w:r>
    </w:p>
    <w:p>
      <w:pPr>
        <w:spacing w:after="0"/>
        <w:ind w:left="0"/>
        <w:jc w:val="both"/>
      </w:pPr>
      <w:r>
        <w:rPr>
          <w:rFonts w:ascii="Times New Roman"/>
          <w:b w:val="false"/>
          <w:i w:val="false"/>
          <w:color w:val="000000"/>
          <w:sz w:val="28"/>
        </w:rPr>
        <w:t>
      2. The Department of Technical and Vocational Education of the Ministry of Education and Science of the Republic of Kazakhstan (Ospanova N. Zh.), in the manner established by the legislation of the Republic of Kazakhstan, shall ensure:</w:t>
      </w:r>
    </w:p>
    <w:p>
      <w:pPr>
        <w:spacing w:after="0"/>
        <w:ind w:left="0"/>
        <w:jc w:val="both"/>
      </w:pPr>
      <w:r>
        <w:rPr>
          <w:rFonts w:ascii="Times New Roman"/>
          <w:b w:val="false"/>
          <w:i w:val="false"/>
          <w:color w:val="000000"/>
          <w:sz w:val="28"/>
        </w:rPr>
        <w:t>
      1)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its copy in paper and electronic form in both Kazakh and Russian languages ​​to the Republican State Enterprise on the Right of Economic Management “Republican Center of Legal Information” for official publication and inclusion into the Reference Control Bank Regulatory Legal Acts of the Republic of Kazakhstan;</w:t>
      </w:r>
    </w:p>
    <w:p>
      <w:pPr>
        <w:spacing w:after="0"/>
        <w:ind w:left="0"/>
        <w:jc w:val="both"/>
      </w:pPr>
      <w:r>
        <w:rPr>
          <w:rFonts w:ascii="Times New Roman"/>
          <w:b w:val="false"/>
          <w:i w:val="false"/>
          <w:color w:val="000000"/>
          <w:sz w:val="28"/>
        </w:rPr>
        <w:t>
      3) the placement of this order on the Internet resource of the Ministry of Education and Science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order, submission to the Legal Department of the Ministry of Education and Science of the Republic of Kazakhstan of the information on the implementation of measures provided for in subparagraphs 1), 2) and 3) of this paragraph.</w:t>
      </w:r>
    </w:p>
    <w:p>
      <w:pPr>
        <w:spacing w:after="0"/>
        <w:ind w:left="0"/>
        <w:jc w:val="both"/>
      </w:pPr>
      <w:r>
        <w:rPr>
          <w:rFonts w:ascii="Times New Roman"/>
          <w:b w:val="false"/>
          <w:i w:val="false"/>
          <w:color w:val="000000"/>
          <w:sz w:val="28"/>
        </w:rPr>
        <w:t>
      3. Control over the execution of this order shall be entrusted to Vice-Minister of Education and Science of the Republic of Kazakhstan, B. A. Assylov.</w:t>
      </w:r>
    </w:p>
    <w:p>
      <w:pPr>
        <w:spacing w:after="0"/>
        <w:ind w:left="0"/>
        <w:jc w:val="both"/>
      </w:pPr>
      <w:r>
        <w:rPr>
          <w:rFonts w:ascii="Times New Roman"/>
          <w:b w:val="false"/>
          <w:i w:val="false"/>
          <w:color w:val="000000"/>
          <w:sz w:val="28"/>
        </w:rPr>
        <w:t>
      4. This order shall enter into force upon the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Sagadiyev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Order № 484 of the </w:t>
            </w:r>
            <w:r>
              <w:br/>
            </w:r>
            <w:r>
              <w:rPr>
                <w:rFonts w:ascii="Times New Roman"/>
                <w:b w:val="false"/>
                <w:i w:val="false"/>
                <w:color w:val="000000"/>
                <w:sz w:val="20"/>
              </w:rPr>
              <w:t>Minister of Education</w:t>
            </w:r>
            <w:r>
              <w:br/>
            </w:r>
            <w:r>
              <w:rPr>
                <w:rFonts w:ascii="Times New Roman"/>
                <w:b w:val="false"/>
                <w:i w:val="false"/>
                <w:color w:val="000000"/>
                <w:sz w:val="20"/>
              </w:rPr>
              <w:t xml:space="preserve">and Science of the </w:t>
            </w:r>
            <w:r>
              <w:br/>
            </w:r>
            <w:r>
              <w:rPr>
                <w:rFonts w:ascii="Times New Roman"/>
                <w:b w:val="false"/>
                <w:i w:val="false"/>
                <w:color w:val="000000"/>
                <w:sz w:val="20"/>
              </w:rPr>
              <w:t>Republic of Kazakhstan</w:t>
            </w:r>
            <w:r>
              <w:br/>
            </w:r>
            <w:r>
              <w:rPr>
                <w:rFonts w:ascii="Times New Roman"/>
                <w:b w:val="false"/>
                <w:i w:val="false"/>
                <w:color w:val="000000"/>
                <w:sz w:val="20"/>
              </w:rPr>
              <w:t xml:space="preserve">of September 21, 2018 </w:t>
            </w:r>
          </w:p>
        </w:tc>
      </w:tr>
    </w:tbl>
    <w:p>
      <w:pPr>
        <w:spacing w:after="0"/>
        <w:ind w:left="0"/>
        <w:jc w:val="left"/>
      </w:pPr>
      <w:r>
        <w:rPr>
          <w:rFonts w:ascii="Times New Roman"/>
          <w:b/>
          <w:i w:val="false"/>
          <w:color w:val="000000"/>
        </w:rPr>
        <w:t xml:space="preserve"> Rules on Holding a Competition for the Grant “The Best Organization of Technical and Vocational, Post-Secondary Education” with the Establishment of the Size of the Grant and the Procedure for Awarding it 1. General Provisions</w:t>
      </w:r>
    </w:p>
    <w:p>
      <w:pPr>
        <w:spacing w:after="0"/>
        <w:ind w:left="0"/>
        <w:jc w:val="both"/>
      </w:pPr>
      <w:r>
        <w:rPr>
          <w:rFonts w:ascii="Times New Roman"/>
          <w:b w:val="false"/>
          <w:i w:val="false"/>
          <w:color w:val="000000"/>
          <w:sz w:val="28"/>
        </w:rPr>
        <w:t>
      1. These Rules on Holding a Competition for the Grant “The Best Organization of Technical and Vocational, Post-Secondary Education” with the Establishment of the Size of the Grant and the Procedure for Awarding it (hereinafter referred to as the Rules) have been developed in accordance with subparagraph 25) of Article 5 of the Law of the Republic of Kazakhstan “On Education” and determine the procedure for holding the competition for the grant “The Best Organization of Technical and Vocational, Post-Secondary Education” with the establishment of the size of the grant and the procedure for awarding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Enlightenment of the Republic of Kazakhstan dated 07.08.2023 № 250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 these Rules the following basic concepts are used:</w:t>
      </w:r>
    </w:p>
    <w:p>
      <w:pPr>
        <w:spacing w:after="0"/>
        <w:ind w:left="0"/>
        <w:jc w:val="both"/>
      </w:pPr>
      <w:r>
        <w:rPr>
          <w:rFonts w:ascii="Times New Roman"/>
          <w:b w:val="false"/>
          <w:i w:val="false"/>
          <w:color w:val="000000"/>
          <w:sz w:val="28"/>
        </w:rPr>
        <w:t>
      1) the organizers of the competition - local executive bodies in the field of education;</w:t>
      </w:r>
    </w:p>
    <w:p>
      <w:pPr>
        <w:spacing w:after="0"/>
        <w:ind w:left="0"/>
        <w:jc w:val="both"/>
      </w:pPr>
      <w:r>
        <w:rPr>
          <w:rFonts w:ascii="Times New Roman"/>
          <w:b w:val="false"/>
          <w:i w:val="false"/>
          <w:color w:val="000000"/>
          <w:sz w:val="28"/>
        </w:rPr>
        <w:t>
      2) the grant “The Best Organization of Technical and Vocational, Post-Secondary Education” (hereinafter referred to as the Grant) is the money allocated annually by local executive bodies of the region, the city of republican significance and the capital to state organizations of technical and vocational, post-secondary education based on the results of a competition based on rating indicators;</w:t>
      </w:r>
    </w:p>
    <w:p>
      <w:pPr>
        <w:spacing w:after="0"/>
        <w:ind w:left="0"/>
        <w:jc w:val="both"/>
      </w:pPr>
      <w:r>
        <w:rPr>
          <w:rFonts w:ascii="Times New Roman"/>
          <w:b w:val="false"/>
          <w:i w:val="false"/>
          <w:color w:val="000000"/>
          <w:sz w:val="28"/>
        </w:rPr>
        <w:t>
      3) rating indicators - the criteria established by these Rules, which shall comply with the organization of technical and vocational, post-secondary education.</w:t>
      </w:r>
    </w:p>
    <w:p>
      <w:pPr>
        <w:spacing w:after="0"/>
        <w:ind w:left="0"/>
        <w:jc w:val="both"/>
      </w:pPr>
      <w:r>
        <w:rPr>
          <w:rFonts w:ascii="Times New Roman"/>
          <w:b w:val="false"/>
          <w:i w:val="false"/>
          <w:color w:val="000000"/>
          <w:sz w:val="28"/>
        </w:rPr>
        <w:t>
      3. The competition for awarding the grant “The Best Organization of Technical and Vocational, Post-Secondary Education” with the establishment of the size of the grant and the procedure for awarding it (hereinafter referred to as the Competition) shall be held annually by local executive bodies in the field of education.</w:t>
      </w:r>
    </w:p>
    <w:p>
      <w:pPr>
        <w:spacing w:after="0"/>
        <w:ind w:left="0"/>
        <w:jc w:val="both"/>
      </w:pPr>
      <w:r>
        <w:rPr>
          <w:rFonts w:ascii="Times New Roman"/>
          <w:b w:val="false"/>
          <w:i w:val="false"/>
          <w:color w:val="000000"/>
          <w:sz w:val="28"/>
        </w:rPr>
        <w:t>
      4. The competition shall be held to identify, generalize and spread effective pedagogical and managerial experience, stimulate professional and personal growth of teachers and leaders of technical and vocational, post-secondary education, identify trends in the development of technical and vocational, post-secondary education in the Republic of Kazakhstan.</w:t>
      </w:r>
    </w:p>
    <w:p>
      <w:pPr>
        <w:spacing w:after="0"/>
        <w:ind w:left="0"/>
        <w:jc w:val="both"/>
      </w:pPr>
      <w:r>
        <w:rPr>
          <w:rFonts w:ascii="Times New Roman"/>
          <w:b w:val="false"/>
          <w:i w:val="false"/>
          <w:color w:val="000000"/>
          <w:sz w:val="28"/>
        </w:rPr>
        <w:t>
      5. The grant shall be awarded to the winners of the Competition - the best organizations of technical and vocational, post-secondary education.</w:t>
      </w:r>
    </w:p>
    <w:p>
      <w:pPr>
        <w:spacing w:after="0"/>
        <w:ind w:left="0"/>
        <w:jc w:val="left"/>
      </w:pPr>
      <w:r>
        <w:rPr>
          <w:rFonts w:ascii="Times New Roman"/>
          <w:b/>
          <w:i w:val="false"/>
          <w:color w:val="000000"/>
        </w:rPr>
        <w:t xml:space="preserve"> 2. Procedure for holding a competition for the grant "The Best Organization of Technical and Vocational, Post-Secondary Education" with the establishment of the size of the grant and the procedure for awarding it</w:t>
      </w:r>
    </w:p>
    <w:p>
      <w:pPr>
        <w:spacing w:after="0"/>
        <w:ind w:left="0"/>
        <w:jc w:val="both"/>
      </w:pPr>
      <w:r>
        <w:rPr>
          <w:rFonts w:ascii="Times New Roman"/>
          <w:b w:val="false"/>
          <w:i w:val="false"/>
          <w:color w:val="000000"/>
          <w:sz w:val="28"/>
        </w:rPr>
        <w:t>
      6. Organizations for technical and vocational, post-secondary education (hereinafter referred to as the educational organizations) shall be allowed to participate in the Competition.</w:t>
      </w:r>
    </w:p>
    <w:p>
      <w:pPr>
        <w:spacing w:after="0"/>
        <w:ind w:left="0"/>
        <w:jc w:val="both"/>
      </w:pPr>
      <w:r>
        <w:rPr>
          <w:rFonts w:ascii="Times New Roman"/>
          <w:b w:val="false"/>
          <w:i w:val="false"/>
          <w:color w:val="000000"/>
          <w:sz w:val="28"/>
        </w:rPr>
        <w:t>
      7. The competition shall be held annually in the month of March, where the winners of the Competition shall be determined.</w:t>
      </w:r>
    </w:p>
    <w:p>
      <w:pPr>
        <w:spacing w:after="0"/>
        <w:ind w:left="0"/>
        <w:jc w:val="both"/>
      </w:pPr>
      <w:r>
        <w:rPr>
          <w:rFonts w:ascii="Times New Roman"/>
          <w:b w:val="false"/>
          <w:i w:val="false"/>
          <w:color w:val="000000"/>
          <w:sz w:val="28"/>
        </w:rPr>
        <w:t>
      8. In order to organize and conduct the Competition, local executive bodies in the field of education, by decision of the Region/Oblast Akim (city of republican significance and the capital), shall create a competitive commission chaired by the Deputy Akim of the region (republican significance and capital) in charge of education.</w:t>
      </w:r>
    </w:p>
    <w:p>
      <w:pPr>
        <w:spacing w:after="0"/>
        <w:ind w:left="0"/>
        <w:jc w:val="both"/>
      </w:pPr>
      <w:r>
        <w:rPr>
          <w:rFonts w:ascii="Times New Roman"/>
          <w:b w:val="false"/>
          <w:i w:val="false"/>
          <w:color w:val="000000"/>
          <w:sz w:val="28"/>
        </w:rPr>
        <w:t>
      9. The competition commission shall consist of regional specialists (cities of republican significance and the capital) educational authorities, experienced teachers, methodologists, psychologists, representatives of public organizations, scientists, employees of education control departments.</w:t>
      </w:r>
    </w:p>
    <w:p>
      <w:pPr>
        <w:spacing w:after="0"/>
        <w:ind w:left="0"/>
        <w:jc w:val="both"/>
      </w:pPr>
      <w:r>
        <w:rPr>
          <w:rFonts w:ascii="Times New Roman"/>
          <w:b w:val="false"/>
          <w:i w:val="false"/>
          <w:color w:val="000000"/>
          <w:sz w:val="28"/>
        </w:rPr>
        <w:t>
      10. The announcement of the Competition shall be published by local executive bodies in the field of education in periodicals at least one month before the start of the Competition and shall indicate:</w:t>
      </w:r>
    </w:p>
    <w:p>
      <w:pPr>
        <w:spacing w:after="0"/>
        <w:ind w:left="0"/>
        <w:jc w:val="both"/>
      </w:pPr>
      <w:r>
        <w:rPr>
          <w:rFonts w:ascii="Times New Roman"/>
          <w:b w:val="false"/>
          <w:i w:val="false"/>
          <w:color w:val="000000"/>
          <w:sz w:val="28"/>
        </w:rPr>
        <w:t>
      1) the date, time, place and order of the Competition;</w:t>
      </w:r>
    </w:p>
    <w:p>
      <w:pPr>
        <w:spacing w:after="0"/>
        <w:ind w:left="0"/>
        <w:jc w:val="both"/>
      </w:pPr>
      <w:r>
        <w:rPr>
          <w:rFonts w:ascii="Times New Roman"/>
          <w:b w:val="false"/>
          <w:i w:val="false"/>
          <w:color w:val="000000"/>
          <w:sz w:val="28"/>
        </w:rPr>
        <w:t>
      2) the place and terms of receiving documents.</w:t>
      </w:r>
    </w:p>
    <w:p>
      <w:pPr>
        <w:spacing w:after="0"/>
        <w:ind w:left="0"/>
        <w:jc w:val="both"/>
      </w:pPr>
      <w:r>
        <w:rPr>
          <w:rFonts w:ascii="Times New Roman"/>
          <w:b w:val="false"/>
          <w:i w:val="false"/>
          <w:color w:val="000000"/>
          <w:sz w:val="28"/>
        </w:rPr>
        <w:t>
      11. In order to ensure the competitiveness of Kazakhstan's education and to achieve high ranking indicators, the selection of the participants of the Competition shall be carried out by the competition committee according to the following criteria:</w:t>
      </w:r>
    </w:p>
    <w:p>
      <w:pPr>
        <w:spacing w:after="0"/>
        <w:ind w:left="0"/>
        <w:jc w:val="both"/>
      </w:pPr>
      <w:r>
        <w:rPr>
          <w:rFonts w:ascii="Times New Roman"/>
          <w:b w:val="false"/>
          <w:i w:val="false"/>
          <w:color w:val="000000"/>
          <w:sz w:val="28"/>
        </w:rPr>
        <w:t>
      1) the quality of the organization of technical and vocational, post-secondary education;</w:t>
      </w:r>
    </w:p>
    <w:p>
      <w:pPr>
        <w:spacing w:after="0"/>
        <w:ind w:left="0"/>
        <w:jc w:val="both"/>
      </w:pPr>
      <w:r>
        <w:rPr>
          <w:rFonts w:ascii="Times New Roman"/>
          <w:b w:val="false"/>
          <w:i w:val="false"/>
          <w:color w:val="000000"/>
          <w:sz w:val="28"/>
        </w:rPr>
        <w:t>
      independent accreditation ;</w:t>
      </w:r>
    </w:p>
    <w:p>
      <w:pPr>
        <w:spacing w:after="0"/>
        <w:ind w:left="0"/>
        <w:jc w:val="both"/>
      </w:pPr>
      <w:r>
        <w:rPr>
          <w:rFonts w:ascii="Times New Roman"/>
          <w:b w:val="false"/>
          <w:i w:val="false"/>
          <w:color w:val="000000"/>
          <w:sz w:val="28"/>
        </w:rPr>
        <w:t>
      the number of created and refurbished laboratories and workshops with an indication of financial costs over the past 3 years;</w:t>
      </w:r>
    </w:p>
    <w:p>
      <w:pPr>
        <w:spacing w:after="0"/>
        <w:ind w:left="0"/>
        <w:jc w:val="both"/>
      </w:pPr>
      <w:r>
        <w:rPr>
          <w:rFonts w:ascii="Times New Roman"/>
          <w:b w:val="false"/>
          <w:i w:val="false"/>
          <w:color w:val="000000"/>
          <w:sz w:val="28"/>
        </w:rPr>
        <w:t>
      the number of developed teaching aids, digital educational resources in the field;</w:t>
      </w:r>
    </w:p>
    <w:p>
      <w:pPr>
        <w:spacing w:after="0"/>
        <w:ind w:left="0"/>
        <w:jc w:val="both"/>
      </w:pPr>
      <w:r>
        <w:rPr>
          <w:rFonts w:ascii="Times New Roman"/>
          <w:b w:val="false"/>
          <w:i w:val="false"/>
          <w:color w:val="000000"/>
          <w:sz w:val="28"/>
        </w:rPr>
        <w:t>
      the introduction of information and communication technology training ;</w:t>
      </w:r>
    </w:p>
    <w:p>
      <w:pPr>
        <w:spacing w:after="0"/>
        <w:ind w:left="0"/>
        <w:jc w:val="both"/>
      </w:pPr>
      <w:r>
        <w:rPr>
          <w:rFonts w:ascii="Times New Roman"/>
          <w:b w:val="false"/>
          <w:i w:val="false"/>
          <w:color w:val="000000"/>
          <w:sz w:val="28"/>
        </w:rPr>
        <w:t>
      coverage with advanced training and internships for teachers, including abroad;</w:t>
      </w:r>
    </w:p>
    <w:p>
      <w:pPr>
        <w:spacing w:after="0"/>
        <w:ind w:left="0"/>
        <w:jc w:val="both"/>
      </w:pPr>
      <w:r>
        <w:rPr>
          <w:rFonts w:ascii="Times New Roman"/>
          <w:b w:val="false"/>
          <w:i w:val="false"/>
          <w:color w:val="000000"/>
          <w:sz w:val="28"/>
        </w:rPr>
        <w:t>
      the number of acquired new and/or foreign literature in the field of training with technical and vocational education;</w:t>
      </w:r>
    </w:p>
    <w:p>
      <w:pPr>
        <w:spacing w:after="0"/>
        <w:ind w:left="0"/>
        <w:jc w:val="both"/>
      </w:pPr>
      <w:r>
        <w:rPr>
          <w:rFonts w:ascii="Times New Roman"/>
          <w:b w:val="false"/>
          <w:i w:val="false"/>
          <w:color w:val="000000"/>
          <w:sz w:val="28"/>
        </w:rPr>
        <w:t>
      the proportion of graduates who received a diploma in technical and vocational, post-secondary education with honors;</w:t>
      </w:r>
    </w:p>
    <w:p>
      <w:pPr>
        <w:spacing w:after="0"/>
        <w:ind w:left="0"/>
        <w:jc w:val="both"/>
      </w:pPr>
      <w:r>
        <w:rPr>
          <w:rFonts w:ascii="Times New Roman"/>
          <w:b w:val="false"/>
          <w:i w:val="false"/>
          <w:color w:val="000000"/>
          <w:sz w:val="28"/>
        </w:rPr>
        <w:t>
      website availability, design, content and provision of the website in several languages ​​(in the state, Russian and English languages);</w:t>
      </w:r>
    </w:p>
    <w:p>
      <w:pPr>
        <w:spacing w:after="0"/>
        <w:ind w:left="0"/>
        <w:jc w:val="both"/>
      </w:pPr>
      <w:r>
        <w:rPr>
          <w:rFonts w:ascii="Times New Roman"/>
          <w:b w:val="false"/>
          <w:i w:val="false"/>
          <w:color w:val="000000"/>
          <w:sz w:val="28"/>
        </w:rPr>
        <w:t>
      2) professional personnel: engineering and pedagogical workers (hereinafter referred to as EPW);</w:t>
      </w:r>
    </w:p>
    <w:p>
      <w:pPr>
        <w:spacing w:after="0"/>
        <w:ind w:left="0"/>
        <w:jc w:val="both"/>
      </w:pPr>
      <w:r>
        <w:rPr>
          <w:rFonts w:ascii="Times New Roman"/>
          <w:b w:val="false"/>
          <w:i w:val="false"/>
          <w:color w:val="000000"/>
          <w:sz w:val="28"/>
        </w:rPr>
        <w:t>
      the proportion of EPW who have undergone advanced training in the modular competence-based approach;</w:t>
      </w:r>
    </w:p>
    <w:p>
      <w:pPr>
        <w:spacing w:after="0"/>
        <w:ind w:left="0"/>
        <w:jc w:val="both"/>
      </w:pPr>
      <w:r>
        <w:rPr>
          <w:rFonts w:ascii="Times New Roman"/>
          <w:b w:val="false"/>
          <w:i w:val="false"/>
          <w:color w:val="000000"/>
          <w:sz w:val="28"/>
        </w:rPr>
        <w:t>
      the share of the institute for teaching special subjects in English;</w:t>
      </w:r>
    </w:p>
    <w:p>
      <w:pPr>
        <w:spacing w:after="0"/>
        <w:ind w:left="0"/>
        <w:jc w:val="both"/>
      </w:pPr>
      <w:r>
        <w:rPr>
          <w:rFonts w:ascii="Times New Roman"/>
          <w:b w:val="false"/>
          <w:i w:val="false"/>
          <w:color w:val="000000"/>
          <w:sz w:val="28"/>
        </w:rPr>
        <w:t>
      the share of masters, doctors of PhD, candidates of sciences, doctors of science from among EPW;</w:t>
      </w:r>
    </w:p>
    <w:p>
      <w:pPr>
        <w:spacing w:after="0"/>
        <w:ind w:left="0"/>
        <w:jc w:val="both"/>
      </w:pPr>
      <w:r>
        <w:rPr>
          <w:rFonts w:ascii="Times New Roman"/>
          <w:b w:val="false"/>
          <w:i w:val="false"/>
          <w:color w:val="000000"/>
          <w:sz w:val="28"/>
        </w:rPr>
        <w:t>
      participation of EPW in professional skill contests "Best Teacher", "Best Master of Industrial Training";</w:t>
      </w:r>
    </w:p>
    <w:p>
      <w:pPr>
        <w:spacing w:after="0"/>
        <w:ind w:left="0"/>
        <w:jc w:val="both"/>
      </w:pPr>
      <w:r>
        <w:rPr>
          <w:rFonts w:ascii="Times New Roman"/>
          <w:b w:val="false"/>
          <w:i w:val="false"/>
          <w:color w:val="000000"/>
          <w:sz w:val="28"/>
        </w:rPr>
        <w:t>
      the proportion of workers awarded departmental distinctions and state awards;</w:t>
      </w:r>
    </w:p>
    <w:p>
      <w:pPr>
        <w:spacing w:after="0"/>
        <w:ind w:left="0"/>
        <w:jc w:val="both"/>
      </w:pPr>
      <w:r>
        <w:rPr>
          <w:rFonts w:ascii="Times New Roman"/>
          <w:b w:val="false"/>
          <w:i w:val="false"/>
          <w:color w:val="000000"/>
          <w:sz w:val="28"/>
        </w:rPr>
        <w:t>
      3) interaction with the business community;</w:t>
      </w:r>
    </w:p>
    <w:p>
      <w:pPr>
        <w:spacing w:after="0"/>
        <w:ind w:left="0"/>
        <w:jc w:val="both"/>
      </w:pPr>
      <w:r>
        <w:rPr>
          <w:rFonts w:ascii="Times New Roman"/>
          <w:b w:val="false"/>
          <w:i w:val="false"/>
          <w:color w:val="000000"/>
          <w:sz w:val="28"/>
        </w:rPr>
        <w:t>
      the level of social partnership and cooperation with employers, business (trustees and industrial councils);</w:t>
      </w:r>
    </w:p>
    <w:p>
      <w:pPr>
        <w:spacing w:after="0"/>
        <w:ind w:left="0"/>
        <w:jc w:val="both"/>
      </w:pPr>
      <w:r>
        <w:rPr>
          <w:rFonts w:ascii="Times New Roman"/>
          <w:b w:val="false"/>
          <w:i w:val="false"/>
          <w:color w:val="000000"/>
          <w:sz w:val="28"/>
        </w:rPr>
        <w:t>
      the share of employed graduates in the first year after completion of training based on data from the state center for the payment of pensions;</w:t>
      </w:r>
    </w:p>
    <w:p>
      <w:pPr>
        <w:spacing w:after="0"/>
        <w:ind w:left="0"/>
        <w:jc w:val="both"/>
      </w:pPr>
      <w:r>
        <w:rPr>
          <w:rFonts w:ascii="Times New Roman"/>
          <w:b w:val="false"/>
          <w:i w:val="false"/>
          <w:color w:val="000000"/>
          <w:sz w:val="28"/>
        </w:rPr>
        <w:t>
      proportion of students studying dual technology learning;</w:t>
      </w:r>
    </w:p>
    <w:p>
      <w:pPr>
        <w:spacing w:after="0"/>
        <w:ind w:left="0"/>
        <w:jc w:val="both"/>
      </w:pPr>
      <w:r>
        <w:rPr>
          <w:rFonts w:ascii="Times New Roman"/>
          <w:b w:val="false"/>
          <w:i w:val="false"/>
          <w:color w:val="000000"/>
          <w:sz w:val="28"/>
        </w:rPr>
        <w:t>
      the proportion of students who have undergone an independent assessment of the level of professional readiness and qualification, of the total number of participants;</w:t>
      </w:r>
    </w:p>
    <w:p>
      <w:pPr>
        <w:spacing w:after="0"/>
        <w:ind w:left="0"/>
        <w:jc w:val="both"/>
      </w:pPr>
      <w:r>
        <w:rPr>
          <w:rFonts w:ascii="Times New Roman"/>
          <w:b w:val="false"/>
          <w:i w:val="false"/>
          <w:color w:val="000000"/>
          <w:sz w:val="28"/>
        </w:rPr>
        <w:t>
      4) participation in the WorldSkills movement and other innovative projects;</w:t>
      </w:r>
    </w:p>
    <w:p>
      <w:pPr>
        <w:spacing w:after="0"/>
        <w:ind w:left="0"/>
        <w:jc w:val="both"/>
      </w:pPr>
      <w:r>
        <w:rPr>
          <w:rFonts w:ascii="Times New Roman"/>
          <w:b w:val="false"/>
          <w:i w:val="false"/>
          <w:color w:val="000000"/>
          <w:sz w:val="28"/>
        </w:rPr>
        <w:t>
      the number of competencies for which participation in WorldSkills championships (regional, national, international);</w:t>
      </w:r>
    </w:p>
    <w:p>
      <w:pPr>
        <w:spacing w:after="0"/>
        <w:ind w:left="0"/>
        <w:jc w:val="both"/>
      </w:pPr>
      <w:r>
        <w:rPr>
          <w:rFonts w:ascii="Times New Roman"/>
          <w:b w:val="false"/>
          <w:i w:val="false"/>
          <w:color w:val="000000"/>
          <w:sz w:val="28"/>
        </w:rPr>
        <w:t>
      the number of WorldSkills standards experts trained;</w:t>
      </w:r>
    </w:p>
    <w:p>
      <w:pPr>
        <w:spacing w:after="0"/>
        <w:ind w:left="0"/>
        <w:jc w:val="both"/>
      </w:pPr>
      <w:r>
        <w:rPr>
          <w:rFonts w:ascii="Times New Roman"/>
          <w:b w:val="false"/>
          <w:i w:val="false"/>
          <w:color w:val="000000"/>
          <w:sz w:val="28"/>
        </w:rPr>
        <w:t>
      the number of winners in WorldSkills Championships (regional, national, international);</w:t>
      </w:r>
    </w:p>
    <w:p>
      <w:pPr>
        <w:spacing w:after="0"/>
        <w:ind w:left="0"/>
        <w:jc w:val="both"/>
      </w:pPr>
      <w:r>
        <w:rPr>
          <w:rFonts w:ascii="Times New Roman"/>
          <w:b w:val="false"/>
          <w:i w:val="false"/>
          <w:color w:val="000000"/>
          <w:sz w:val="28"/>
        </w:rPr>
        <w:t>
      the number of signed memorandums and agreements on innovative projects;</w:t>
      </w:r>
    </w:p>
    <w:p>
      <w:pPr>
        <w:spacing w:after="0"/>
        <w:ind w:left="0"/>
        <w:jc w:val="both"/>
      </w:pPr>
      <w:r>
        <w:rPr>
          <w:rFonts w:ascii="Times New Roman"/>
          <w:b w:val="false"/>
          <w:i w:val="false"/>
          <w:color w:val="000000"/>
          <w:sz w:val="28"/>
        </w:rPr>
        <w:t>
      5) the enrollment of students;</w:t>
      </w:r>
    </w:p>
    <w:p>
      <w:pPr>
        <w:spacing w:after="0"/>
        <w:ind w:left="0"/>
        <w:jc w:val="both"/>
      </w:pPr>
      <w:r>
        <w:rPr>
          <w:rFonts w:ascii="Times New Roman"/>
          <w:b w:val="false"/>
          <w:i w:val="false"/>
          <w:color w:val="000000"/>
          <w:sz w:val="28"/>
        </w:rPr>
        <w:t>
      the proportion of students who won prizes in competitions of professional skills (outside the WorldSkills project), scientific conferences and other events at the international, republican, regional and city levels;</w:t>
      </w:r>
    </w:p>
    <w:p>
      <w:pPr>
        <w:spacing w:after="0"/>
        <w:ind w:left="0"/>
        <w:jc w:val="both"/>
      </w:pPr>
      <w:r>
        <w:rPr>
          <w:rFonts w:ascii="Times New Roman"/>
          <w:b w:val="false"/>
          <w:i w:val="false"/>
          <w:color w:val="000000"/>
          <w:sz w:val="28"/>
        </w:rPr>
        <w:t>
      indicators of the safety of the enrollment of students prior to graduation by specialties.</w:t>
      </w:r>
    </w:p>
    <w:p>
      <w:pPr>
        <w:spacing w:after="0"/>
        <w:ind w:left="0"/>
        <w:jc w:val="both"/>
      </w:pPr>
      <w:r>
        <w:rPr>
          <w:rFonts w:ascii="Times New Roman"/>
          <w:b w:val="false"/>
          <w:i w:val="false"/>
          <w:color w:val="000000"/>
          <w:sz w:val="28"/>
        </w:rPr>
        <w:t>
      12. Meetings of competition commissions for awarding a grant shall be considered eligible if they are attended by at least two thirds of their membership.</w:t>
      </w:r>
    </w:p>
    <w:p>
      <w:pPr>
        <w:spacing w:after="0"/>
        <w:ind w:left="0"/>
        <w:jc w:val="both"/>
      </w:pPr>
      <w:r>
        <w:rPr>
          <w:rFonts w:ascii="Times New Roman"/>
          <w:b w:val="false"/>
          <w:i w:val="false"/>
          <w:color w:val="000000"/>
          <w:sz w:val="28"/>
        </w:rPr>
        <w:t>
      13. Voting results shall be determined by a majority vote of commission members. The vote of the Chairman shall be decisive if the votes of the commission members are equal.</w:t>
      </w:r>
    </w:p>
    <w:p>
      <w:pPr>
        <w:spacing w:after="0"/>
        <w:ind w:left="0"/>
        <w:jc w:val="both"/>
      </w:pPr>
      <w:r>
        <w:rPr>
          <w:rFonts w:ascii="Times New Roman"/>
          <w:b w:val="false"/>
          <w:i w:val="false"/>
          <w:color w:val="000000"/>
          <w:sz w:val="28"/>
        </w:rPr>
        <w:t>
      14. To participate in the Competition, educational organizations shall provide the competition commission with the following documents:</w:t>
      </w:r>
    </w:p>
    <w:p>
      <w:pPr>
        <w:spacing w:after="0"/>
        <w:ind w:left="0"/>
        <w:jc w:val="both"/>
      </w:pPr>
      <w:r>
        <w:rPr>
          <w:rFonts w:ascii="Times New Roman"/>
          <w:b w:val="false"/>
          <w:i w:val="false"/>
          <w:color w:val="000000"/>
          <w:sz w:val="28"/>
        </w:rPr>
        <w:t>
      1) an application for participation in the competition;</w:t>
      </w:r>
    </w:p>
    <w:p>
      <w:pPr>
        <w:spacing w:after="0"/>
        <w:ind w:left="0"/>
        <w:jc w:val="both"/>
      </w:pPr>
      <w:r>
        <w:rPr>
          <w:rFonts w:ascii="Times New Roman"/>
          <w:b w:val="false"/>
          <w:i w:val="false"/>
          <w:color w:val="000000"/>
          <w:sz w:val="28"/>
        </w:rPr>
        <w:t>
      2) submission of relevant materials according to the criteria specified in paragraph 11 of these Rules.</w:t>
      </w:r>
    </w:p>
    <w:p>
      <w:pPr>
        <w:spacing w:after="0"/>
        <w:ind w:left="0"/>
        <w:jc w:val="both"/>
      </w:pPr>
      <w:r>
        <w:rPr>
          <w:rFonts w:ascii="Times New Roman"/>
          <w:b w:val="false"/>
          <w:i w:val="false"/>
          <w:color w:val="000000"/>
          <w:sz w:val="28"/>
        </w:rPr>
        <w:t>
      The application form shall be established by local executive bodies in the field of education.</w:t>
      </w:r>
    </w:p>
    <w:p>
      <w:pPr>
        <w:spacing w:after="0"/>
        <w:ind w:left="0"/>
        <w:jc w:val="both"/>
      </w:pPr>
      <w:r>
        <w:rPr>
          <w:rFonts w:ascii="Times New Roman"/>
          <w:b w:val="false"/>
          <w:i w:val="false"/>
          <w:color w:val="000000"/>
          <w:sz w:val="28"/>
        </w:rPr>
        <w:t>
      15. The competition commission shall accept the documents submitted on time for admission, in an envelope marked: “Grant Competition”.</w:t>
      </w:r>
    </w:p>
    <w:p>
      <w:pPr>
        <w:spacing w:after="0"/>
        <w:ind w:left="0"/>
        <w:jc w:val="both"/>
      </w:pPr>
      <w:r>
        <w:rPr>
          <w:rFonts w:ascii="Times New Roman"/>
          <w:b w:val="false"/>
          <w:i w:val="false"/>
          <w:color w:val="000000"/>
          <w:sz w:val="28"/>
        </w:rPr>
        <w:t>
      16. Educational organizations that submitted documents after the deadline for accepting documents shall not be allowed to participate in the Competition.</w:t>
      </w:r>
    </w:p>
    <w:p>
      <w:pPr>
        <w:spacing w:after="0"/>
        <w:ind w:left="0"/>
        <w:jc w:val="both"/>
      </w:pPr>
      <w:r>
        <w:rPr>
          <w:rFonts w:ascii="Times New Roman"/>
          <w:b w:val="false"/>
          <w:i w:val="false"/>
          <w:color w:val="000000"/>
          <w:sz w:val="28"/>
        </w:rPr>
        <w:t>
      17. On the basis of the submitted documents, the competition commission shall register the participants of the Competition.</w:t>
      </w:r>
    </w:p>
    <w:p>
      <w:pPr>
        <w:spacing w:after="0"/>
        <w:ind w:left="0"/>
        <w:jc w:val="both"/>
      </w:pPr>
      <w:r>
        <w:rPr>
          <w:rFonts w:ascii="Times New Roman"/>
          <w:b w:val="false"/>
          <w:i w:val="false"/>
          <w:color w:val="000000"/>
          <w:sz w:val="28"/>
        </w:rPr>
        <w:t>
      18. Based on the results of consideration of the submitted materials, the competition commission shall determine the winner of the Competition and decide on the award of the grant.</w:t>
      </w:r>
    </w:p>
    <w:p>
      <w:pPr>
        <w:spacing w:after="0"/>
        <w:ind w:left="0"/>
        <w:jc w:val="both"/>
      </w:pPr>
      <w:r>
        <w:rPr>
          <w:rFonts w:ascii="Times New Roman"/>
          <w:b w:val="false"/>
          <w:i w:val="false"/>
          <w:color w:val="000000"/>
          <w:sz w:val="28"/>
        </w:rPr>
        <w:t>
      19. The decision of the competition commission shall be documented in a protocol, signed by the Chairman, Deputy Chairman, Secretary and the members of the commission who participated in the voting.</w:t>
      </w:r>
    </w:p>
    <w:p>
      <w:pPr>
        <w:spacing w:after="0"/>
        <w:ind w:left="0"/>
        <w:jc w:val="both"/>
      </w:pPr>
      <w:r>
        <w:rPr>
          <w:rFonts w:ascii="Times New Roman"/>
          <w:b w:val="false"/>
          <w:i w:val="false"/>
          <w:color w:val="000000"/>
          <w:sz w:val="28"/>
        </w:rPr>
        <w:t>
      20. The winners of the Competition shall be awarded with special honorary diplomas "Laureate of the Competition", “The Best Organization of Technical and Vocational, Post-Secondary Education" and certificates on receiving a grant.</w:t>
      </w:r>
    </w:p>
    <w:p>
      <w:pPr>
        <w:spacing w:after="0"/>
        <w:ind w:left="0"/>
        <w:jc w:val="both"/>
      </w:pPr>
      <w:r>
        <w:rPr>
          <w:rFonts w:ascii="Times New Roman"/>
          <w:b w:val="false"/>
          <w:i w:val="false"/>
          <w:color w:val="000000"/>
          <w:sz w:val="28"/>
        </w:rPr>
        <w:t>
      Diploma and certificate forms shall be approved by local executive bodies.</w:t>
      </w:r>
    </w:p>
    <w:p>
      <w:pPr>
        <w:spacing w:after="0"/>
        <w:ind w:left="0"/>
        <w:jc w:val="both"/>
      </w:pPr>
      <w:r>
        <w:rPr>
          <w:rFonts w:ascii="Times New Roman"/>
          <w:b w:val="false"/>
          <w:i w:val="false"/>
          <w:color w:val="000000"/>
          <w:sz w:val="28"/>
        </w:rPr>
        <w:t>
      21. The grant shall be paid by the decision of local executive bodies at the expense of local budgets based on the results of the competitive selection.</w:t>
      </w:r>
    </w:p>
    <w:p>
      <w:pPr>
        <w:spacing w:after="0"/>
        <w:ind w:left="0"/>
        <w:jc w:val="both"/>
      </w:pPr>
      <w:r>
        <w:rPr>
          <w:rFonts w:ascii="Times New Roman"/>
          <w:b w:val="false"/>
          <w:i w:val="false"/>
          <w:color w:val="000000"/>
          <w:sz w:val="28"/>
        </w:rPr>
        <w:t>
      22. The size of the grant shall be eight hundred times the minimum wage at the expense of the republican budget, established by the law of the Republic of Kazakhstan on the republican budget for the relevant financial year.</w:t>
      </w:r>
    </w:p>
    <w:p>
      <w:pPr>
        <w:spacing w:after="0"/>
        <w:ind w:left="0"/>
        <w:jc w:val="both"/>
      </w:pPr>
      <w:r>
        <w:rPr>
          <w:rFonts w:ascii="Times New Roman"/>
          <w:b w:val="false"/>
          <w:i w:val="false"/>
          <w:color w:val="000000"/>
          <w:sz w:val="28"/>
        </w:rPr>
        <w:t>
      23. The state institutions of secondary education that received the grant “The Best Organization of Technical and Vocational, Post-Secondary Education" on a competitive basis shall spend the grant on improving the material and technical equipment of the educational organization and the scientific and methodological support of the educational process.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