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ad96" w14:textId="8c0a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in the field of the notarial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joint order of the Minister of Justice of the Republic of Kazakhstan dated November 6, 2018 No. 1529 and the Minister of National Economy of the Republic of Kazakhstan dated November 6, 2018 No. 60. Registered with the Ministry of Justice of the Republic of Kazakhstan on November 7, 2018 No. 17706.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pursuance of paragraphs 5 and 6 of Article 141 and paragraph 1 of Article 143 of the Entrepreneur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 - as amended by the joint order of the Minister of Justice of the Republic of Kazakhstan dated 30.11.2022 № 982 and the Minister of National Economy of the Republic of Kazakhstan dated 30.11.2022 № 110 (effective from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1) risk assessment criteria in the field of the notarial activity, in accordance with Appendix 1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joint order of the Minister of Justice of the Republic of Kazakhstan dated 30.11.2022 № 982 and the Minister of National Economy of the Republic of Kazakhstan dated 30.11.2022 № 110 (effective from 01.01.2023).</w:t>
      </w:r>
      <w:r>
        <w:br/>
      </w:r>
      <w:r>
        <w:rPr>
          <w:rFonts w:ascii="Times New Roman"/>
          <w:b w:val="false"/>
          <w:i w:val="false"/>
          <w:color w:val="000000"/>
          <w:sz w:val="28"/>
        </w:rPr>
        <w:t>
</w:t>
      </w:r>
      <w:r>
        <w:rPr>
          <w:rFonts w:ascii="Times New Roman"/>
          <w:b w:val="false"/>
          <w:i w:val="false"/>
          <w:color w:val="ff0000"/>
          <w:sz w:val="28"/>
        </w:rPr>
        <w:t>      3) excluded by the joint order of the Minister of Justice of the Republic of Kazakhstan dated 30.11.2022 № 982 and the Minister of National Economy of the Republic of Kazakhstan dated 30.11.2022 № 110 (effective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checklist of activities in relation to notaries engaged in private practice (private notaries) to verify compliance with qualification or licensing requirements in accordance with Annex 4 to this joint order;</w:t>
      </w:r>
    </w:p>
    <w:p>
      <w:pPr>
        <w:spacing w:after="0"/>
        <w:ind w:left="0"/>
        <w:jc w:val="both"/>
      </w:pPr>
      <w:r>
        <w:rPr>
          <w:rFonts w:ascii="Times New Roman"/>
          <w:b w:val="false"/>
          <w:i w:val="false"/>
          <w:color w:val="000000"/>
          <w:sz w:val="28"/>
        </w:rPr>
        <w:t>
      5) a checklist of activities in relation to notaries engaged in private practice (private notaries) for conducting an inspection/preventive control with a visit to the subject (object) of control in accordance with Appendix 5 to this joint order;</w:t>
      </w:r>
    </w:p>
    <w:p>
      <w:pPr>
        <w:spacing w:after="0"/>
        <w:ind w:left="0"/>
        <w:jc w:val="both"/>
      </w:pPr>
      <w:r>
        <w:rPr>
          <w:rFonts w:ascii="Times New Roman"/>
          <w:b w:val="false"/>
          <w:i w:val="false"/>
          <w:color w:val="000000"/>
          <w:sz w:val="28"/>
        </w:rPr>
        <w:t>
      6) a checklist of activities in relation to territorial notary chambers for conducting an inspection/preventive control with a visit to the subject (object) of control in accordance with Annex 6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 as amended by joint orders of the Minister of Justice of the Republic of Kazakhstan dated 30.11.2022 № 982 and the Minister of National Economy of the Republic of Kazakhstan on 30.11.2022 № 110 (effective from 01.01.2023); dated 13.11.2023 № 812 and the Minister of National Economy of the Republic of Kazakhstan dated 14.11.2023 № 176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invalidate Joint Order № 649 of the Minister of Justice of the Republic of Kazakhstan as of December 28, 2015 and № 833 of the Acting Minister of National Economy of the Republic of Kazakhstan as of December 30, 2015 “On approval of risk assessment criteria and checklists in the field of the notarial activity” (registered in the Register of State Registration under № 12698, published in the “Adilet” Information and Legal System on January 12, 2016). </w:t>
      </w:r>
    </w:p>
    <w:p>
      <w:pPr>
        <w:spacing w:after="0"/>
        <w:ind w:left="0"/>
        <w:jc w:val="both"/>
      </w:pPr>
      <w:r>
        <w:rPr>
          <w:rFonts w:ascii="Times New Roman"/>
          <w:b w:val="false"/>
          <w:i w:val="false"/>
          <w:color w:val="000000"/>
          <w:sz w:val="28"/>
        </w:rPr>
        <w:t>
      3. In accordance with the procedure established by the legislation, the Department of Registration Service and Organization of Legal Services of the Ministry of Justice of the Republic of Kazakhstan shall:</w:t>
      </w:r>
    </w:p>
    <w:p>
      <w:pPr>
        <w:spacing w:after="0"/>
        <w:ind w:left="0"/>
        <w:jc w:val="both"/>
      </w:pPr>
      <w:r>
        <w:rPr>
          <w:rFonts w:ascii="Times New Roman"/>
          <w:b w:val="false"/>
          <w:i w:val="false"/>
          <w:color w:val="000000"/>
          <w:sz w:val="28"/>
        </w:rPr>
        <w:t xml:space="preserve">
      1) ensure state registration of this joint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4. Control over execution of this joint order shall be entrusted to the supervising vice-minister of Justice of the Republic of Kazakhstan.</w:t>
      </w:r>
    </w:p>
    <w:p>
      <w:pPr>
        <w:spacing w:after="0"/>
        <w:ind w:left="0"/>
        <w:jc w:val="both"/>
      </w:pPr>
      <w:r>
        <w:rPr>
          <w:rFonts w:ascii="Times New Roman"/>
          <w:b w:val="false"/>
          <w:i w:val="false"/>
          <w:color w:val="000000"/>
          <w:sz w:val="28"/>
        </w:rPr>
        <w:t xml:space="preserve">
      5. This joint order shall take effect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Minister of Justice of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the Republic of Kazakhstan </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______________ M.Beketayev </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National Economy of</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the 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________________ T.Suleimenov </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Legal Statistics and</w:t>
      </w:r>
    </w:p>
    <w:p>
      <w:pPr>
        <w:spacing w:after="0"/>
        <w:ind w:left="0"/>
        <w:jc w:val="both"/>
      </w:pPr>
      <w:r>
        <w:rPr>
          <w:rFonts w:ascii="Times New Roman"/>
          <w:b w:val="false"/>
          <w:i w:val="false"/>
          <w:color w:val="000000"/>
          <w:sz w:val="28"/>
        </w:rPr>
        <w:t>
      Special Accounts of the</w:t>
      </w:r>
    </w:p>
    <w:p>
      <w:pPr>
        <w:spacing w:after="0"/>
        <w:ind w:left="0"/>
        <w:jc w:val="both"/>
      </w:pPr>
      <w:r>
        <w:rPr>
          <w:rFonts w:ascii="Times New Roman"/>
          <w:b w:val="false"/>
          <w:i w:val="false"/>
          <w:color w:val="000000"/>
          <w:sz w:val="28"/>
        </w:rPr>
        <w:t xml:space="preserve">
      General Prosecutor’s Office of </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Joint Order № 1529 of</w:t>
            </w:r>
            <w:r>
              <w:br/>
            </w:r>
            <w:r>
              <w:rPr>
                <w:rFonts w:ascii="Times New Roman"/>
                <w:b w:val="false"/>
                <w:i w:val="false"/>
                <w:color w:val="000000"/>
                <w:sz w:val="20"/>
              </w:rPr>
              <w:t xml:space="preserve">the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as of November 6, 2018 № 60 of</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as of November 6, 2018</w:t>
            </w:r>
          </w:p>
        </w:tc>
      </w:tr>
    </w:tbl>
    <w:p>
      <w:pPr>
        <w:spacing w:after="0"/>
        <w:ind w:left="0"/>
        <w:jc w:val="left"/>
      </w:pPr>
      <w:r>
        <w:rPr>
          <w:rFonts w:ascii="Times New Roman"/>
          <w:b/>
          <w:i w:val="false"/>
          <w:color w:val="000000"/>
        </w:rPr>
        <w:t xml:space="preserve"> Criteria for assessing the degree of risks in the field of notarial activities</w:t>
      </w:r>
    </w:p>
    <w:p>
      <w:pPr>
        <w:spacing w:after="0"/>
        <w:ind w:left="0"/>
        <w:jc w:val="both"/>
      </w:pPr>
      <w:r>
        <w:rPr>
          <w:rFonts w:ascii="Times New Roman"/>
          <w:b w:val="false"/>
          <w:i w:val="false"/>
          <w:color w:val="ff0000"/>
          <w:sz w:val="28"/>
        </w:rPr>
        <w:t>
      Footnote. Appendix 1 - as amended by the joint order of the Minister of Justice of the Republic of Kazakhstan dated 13.11.2023 № 812 and the Minister of National Economy of the Republic of Kazakhstan dated 14.11.2023 № 176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Criteria for assessing the degree of risks in the field of notarial activities (hereinafter referred to as the Criteria) have been developed in pursuance of paragraphs 5 and 6 of Article 141 and paragraph 1 of Article 143 of the Entrepreneur Code of the Republic of Kazakhstan (hereinafter referred to as the Code), the Law of the Republic of Kazakhstan “On Notaries” (hereinafter referred to as –the  Law), with the Rules for the formation by regulatory state bodies of the risk assessment and management system, approved by the order of the Acting Minister of National Economy of the Republic of Kazakhstan dated June 22, 2022 № 48 (registered in the Register of State Registration of Regulatory Legal Acts under № 28577) and with the forms of checklists, approved by the order of the Acting Minister of National Economy of the Republic of Kazakhstan dated July 31, 2018 № 3 (registered in the Register of State Registration of Regulatory Legal Acts under № 17371).</w:t>
      </w:r>
    </w:p>
    <w:p>
      <w:pPr>
        <w:spacing w:after="0"/>
        <w:ind w:left="0"/>
        <w:jc w:val="both"/>
      </w:pPr>
      <w:r>
        <w:rPr>
          <w:rFonts w:ascii="Times New Roman"/>
          <w:b w:val="false"/>
          <w:i w:val="false"/>
          <w:color w:val="000000"/>
          <w:sz w:val="28"/>
        </w:rPr>
        <w:t>
      2. The following terms shall be used in these Criteria:</w:t>
      </w:r>
    </w:p>
    <w:p>
      <w:pPr>
        <w:spacing w:after="0"/>
        <w:ind w:left="0"/>
        <w:jc w:val="both"/>
      </w:pPr>
      <w:r>
        <w:rPr>
          <w:rFonts w:ascii="Times New Roman"/>
          <w:b w:val="false"/>
          <w:i w:val="false"/>
          <w:color w:val="000000"/>
          <w:sz w:val="28"/>
        </w:rPr>
        <w:t>
      1) score - a quantitative measure of risk calculation;</w:t>
      </w:r>
    </w:p>
    <w:p>
      <w:pPr>
        <w:spacing w:after="0"/>
        <w:ind w:left="0"/>
        <w:jc w:val="both"/>
      </w:pPr>
      <w:r>
        <w:rPr>
          <w:rFonts w:ascii="Times New Roman"/>
          <w:b w:val="false"/>
          <w:i w:val="false"/>
          <w:color w:val="000000"/>
          <w:sz w:val="28"/>
        </w:rPr>
        <w:t>
      2) data normalization - a statistical procedure that involves  bringing values measured in different scales to a conditionally common scale;</w:t>
      </w:r>
    </w:p>
    <w:p>
      <w:pPr>
        <w:spacing w:after="0"/>
        <w:ind w:left="0"/>
        <w:jc w:val="both"/>
      </w:pPr>
      <w:r>
        <w:rPr>
          <w:rFonts w:ascii="Times New Roman"/>
          <w:b w:val="false"/>
          <w:i w:val="false"/>
          <w:color w:val="000000"/>
          <w:sz w:val="28"/>
        </w:rPr>
        <w:t>
      3) risk - likelihood of a harm caused by the activities of the subject of control and supervision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4) risk assessment and management system - the process of making managerial decisions aimed at reducing the likelihood of occurrence of unfavorable factors by distributing control subjects into risk degrees for subsequent preventive control with visits to the subject of control and (or) compliance checks for qualification or authorization requirements (hereinafter - compliance checks) with the aim of the minimum possible degree of restriction of freedom of enterprise, while ensuring an acceptable level of risk in relevant areas of activity, also aimed at changing the risk level for a specific subject of control and (or) release of such subject of control and preventive control with a visit to the subject  of control and (or) compliance checks;</w:t>
      </w:r>
    </w:p>
    <w:p>
      <w:pPr>
        <w:spacing w:after="0"/>
        <w:ind w:left="0"/>
        <w:jc w:val="both"/>
      </w:pPr>
      <w:r>
        <w:rPr>
          <w:rFonts w:ascii="Times New Roman"/>
          <w:b w:val="false"/>
          <w:i w:val="false"/>
          <w:color w:val="000000"/>
          <w:sz w:val="28"/>
        </w:rPr>
        <w:t>
      5) objective criteria for assessing the degree of risk (hereinafter - objective criteria) - criteria for assessing the degree of risk used for the selection of control subjects depending on the degree of risk of their activities and not directly dependent on an individual control subject (object);</w:t>
      </w:r>
    </w:p>
    <w:p>
      <w:pPr>
        <w:spacing w:after="0"/>
        <w:ind w:left="0"/>
        <w:jc w:val="both"/>
      </w:pPr>
      <w:r>
        <w:rPr>
          <w:rFonts w:ascii="Times New Roman"/>
          <w:b w:val="false"/>
          <w:i w:val="false"/>
          <w:color w:val="000000"/>
          <w:sz w:val="28"/>
        </w:rPr>
        <w:t>
      6) risk assessment criteria - a set of quantitative and qualitative indicators related to the control subject's direct activity, specifics of sectoral development and factors impacting this development, which allow for  assigning of control subjects (objects) to different degrees of risk;</w:t>
      </w:r>
    </w:p>
    <w:p>
      <w:pPr>
        <w:spacing w:after="0"/>
        <w:ind w:left="0"/>
        <w:jc w:val="both"/>
      </w:pPr>
      <w:r>
        <w:rPr>
          <w:rFonts w:ascii="Times New Roman"/>
          <w:b w:val="false"/>
          <w:i w:val="false"/>
          <w:color w:val="000000"/>
          <w:sz w:val="28"/>
        </w:rPr>
        <w:t>
      7) subjective criteria for risk degree assessment (hereinafter - subjective criteria) - criteria for risk degree assessment used for selection of control subjects depending on the results of activities of a particular control subject;</w:t>
      </w:r>
    </w:p>
    <w:p>
      <w:pPr>
        <w:spacing w:after="0"/>
        <w:ind w:left="0"/>
        <w:jc w:val="both"/>
      </w:pPr>
      <w:r>
        <w:rPr>
          <w:rFonts w:ascii="Times New Roman"/>
          <w:b w:val="false"/>
          <w:i w:val="false"/>
          <w:color w:val="000000"/>
          <w:sz w:val="28"/>
        </w:rPr>
        <w:t>
      8) checklist - a list of requirements for the activities of control subjects (objects), non-compliance with which entails a threat to human life and health, the environment, the legitimate interests of individuals, legal entities and the state;</w:t>
      </w:r>
    </w:p>
    <w:p>
      <w:pPr>
        <w:spacing w:after="0"/>
        <w:ind w:left="0"/>
        <w:jc w:val="both"/>
      </w:pPr>
      <w:r>
        <w:rPr>
          <w:rFonts w:ascii="Times New Roman"/>
          <w:b w:val="false"/>
          <w:i w:val="false"/>
          <w:color w:val="000000"/>
          <w:sz w:val="28"/>
        </w:rPr>
        <w:t>
      9) subject of control - an individual pursuing notarial activities in accordance with the Law of the Republic of Kazakhstan On Notaries, territorial notary chambers;</w:t>
      </w:r>
    </w:p>
    <w:p>
      <w:pPr>
        <w:spacing w:after="0"/>
        <w:ind w:left="0"/>
        <w:jc w:val="both"/>
      </w:pPr>
      <w:r>
        <w:rPr>
          <w:rFonts w:ascii="Times New Roman"/>
          <w:b w:val="false"/>
          <w:i w:val="false"/>
          <w:color w:val="000000"/>
          <w:sz w:val="28"/>
        </w:rPr>
        <w:t>
      10) gross violations - violations of the requirements established by the legislation of the Republic of Kazakhstan in the field of notarial activity, which may lead to significant violations of the rights, freedoms and legitimate interests of individuals and legal entities;</w:t>
      </w:r>
    </w:p>
    <w:p>
      <w:pPr>
        <w:spacing w:after="0"/>
        <w:ind w:left="0"/>
        <w:jc w:val="both"/>
      </w:pPr>
      <w:r>
        <w:rPr>
          <w:rFonts w:ascii="Times New Roman"/>
          <w:b w:val="false"/>
          <w:i w:val="false"/>
          <w:color w:val="000000"/>
          <w:sz w:val="28"/>
        </w:rPr>
        <w:t>
      11) significant violations - violations of the requirements of the legislation of the Republic of Kazakhstan in the field of notarial activity, which create preconditions for causing harm to life, human health, environment and legitimate interests of individuals and legal entities, the state;</w:t>
      </w:r>
    </w:p>
    <w:p>
      <w:pPr>
        <w:spacing w:after="0"/>
        <w:ind w:left="0"/>
        <w:jc w:val="both"/>
      </w:pPr>
      <w:r>
        <w:rPr>
          <w:rFonts w:ascii="Times New Roman"/>
          <w:b w:val="false"/>
          <w:i w:val="false"/>
          <w:color w:val="000000"/>
          <w:sz w:val="28"/>
        </w:rPr>
        <w:t>
      12) minor violations - violations of the requirements of the legislation of the Republic of Kazakhstan in notarial activity, which are not related to significant and gross violations;</w:t>
      </w:r>
    </w:p>
    <w:p>
      <w:pPr>
        <w:spacing w:after="0"/>
        <w:ind w:left="0"/>
        <w:jc w:val="both"/>
      </w:pPr>
      <w:r>
        <w:rPr>
          <w:rFonts w:ascii="Times New Roman"/>
          <w:b w:val="false"/>
          <w:i w:val="false"/>
          <w:color w:val="000000"/>
          <w:sz w:val="28"/>
        </w:rPr>
        <w:t>
      13) sample (selection) - a list of assessed subjects (objects) classified as a homogeneous group of subjects (objects) of control in a specific area of state control, in accordance with paragraph 2 of Article 143 of the Code.</w:t>
      </w:r>
    </w:p>
    <w:p>
      <w:pPr>
        <w:spacing w:after="0"/>
        <w:ind w:left="0"/>
        <w:jc w:val="left"/>
      </w:pPr>
      <w:r>
        <w:rPr>
          <w:rFonts w:ascii="Times New Roman"/>
          <w:b/>
          <w:i w:val="false"/>
          <w:color w:val="000000"/>
        </w:rPr>
        <w:t xml:space="preserve"> Chapter 2. The procedure of forming a risk assessment and management system when </w:t>
      </w:r>
      <w:r>
        <w:br/>
      </w:r>
      <w:r>
        <w:rPr>
          <w:rFonts w:ascii="Times New Roman"/>
          <w:b/>
          <w:i w:val="false"/>
          <w:color w:val="000000"/>
        </w:rPr>
        <w:t>conducting compliance check and preventive control of subjects (objects) of control</w:t>
      </w:r>
    </w:p>
    <w:p>
      <w:pPr>
        <w:spacing w:after="0"/>
        <w:ind w:left="0"/>
        <w:jc w:val="both"/>
      </w:pPr>
      <w:r>
        <w:rPr>
          <w:rFonts w:ascii="Times New Roman"/>
          <w:b w:val="false"/>
          <w:i w:val="false"/>
          <w:color w:val="000000"/>
          <w:sz w:val="28"/>
        </w:rPr>
        <w:t>
      3. For risk management purposes when conducting preventive control with a visit to the subject (object) of control and (or) compliance check, criteria for assessing the degree of risk for carrying out preventive control of subjects (objects) of control and compliance check shall be formed by determining objective and subjective criteria that shall be implemented in stepwise (Multi-criteria decision analysis).</w:t>
      </w:r>
    </w:p>
    <w:p>
      <w:pPr>
        <w:spacing w:after="0"/>
        <w:ind w:left="0"/>
        <w:jc w:val="both"/>
      </w:pPr>
      <w:r>
        <w:rPr>
          <w:rFonts w:ascii="Times New Roman"/>
          <w:b w:val="false"/>
          <w:i w:val="false"/>
          <w:color w:val="000000"/>
          <w:sz w:val="28"/>
        </w:rPr>
        <w:t>
      4. Depending on the possible risk and significance of the problem, the singularity or systematic nature of the violation, the analysis of previously made decisions on each source of information, the requirements for the activities of the subjects (objects) of control correspond to the violation degree - gross, significant and minor.</w:t>
      </w:r>
    </w:p>
    <w:p>
      <w:pPr>
        <w:spacing w:after="0"/>
        <w:ind w:left="0"/>
        <w:jc w:val="both"/>
      </w:pPr>
      <w:r>
        <w:rPr>
          <w:rFonts w:ascii="Times New Roman"/>
          <w:b w:val="false"/>
          <w:i w:val="false"/>
          <w:color w:val="000000"/>
          <w:sz w:val="28"/>
        </w:rPr>
        <w:t>
      The violation degree (gross, significant, minor) shall be assigned in accordance with the established definitions of gross, significant, minor violations according to subjective criteria in accordance with Appendices 1, 2 to these Criteria.</w:t>
      </w:r>
    </w:p>
    <w:p>
      <w:pPr>
        <w:spacing w:after="0"/>
        <w:ind w:left="0"/>
        <w:jc w:val="both"/>
      </w:pPr>
      <w:r>
        <w:rPr>
          <w:rFonts w:ascii="Times New Roman"/>
          <w:b w:val="false"/>
          <w:i w:val="false"/>
          <w:color w:val="000000"/>
          <w:sz w:val="28"/>
        </w:rPr>
        <w:t>
      5. Criteria for assessing the degree of risk for carrying out preventive control of subjects (objects) of control and (or) compliance checks shall be formed by defining objective and subjective criteria.</w:t>
      </w:r>
    </w:p>
    <w:p>
      <w:pPr>
        <w:spacing w:after="0"/>
        <w:ind w:left="0"/>
        <w:jc w:val="left"/>
      </w:pPr>
      <w:r>
        <w:rPr>
          <w:rFonts w:ascii="Times New Roman"/>
          <w:b/>
          <w:i w:val="false"/>
          <w:color w:val="000000"/>
        </w:rPr>
        <w:t xml:space="preserve"> Paragraph 1. Objective criteria</w:t>
      </w:r>
    </w:p>
    <w:p>
      <w:pPr>
        <w:spacing w:after="0"/>
        <w:ind w:left="0"/>
        <w:jc w:val="both"/>
      </w:pPr>
      <w:r>
        <w:rPr>
          <w:rFonts w:ascii="Times New Roman"/>
          <w:b w:val="false"/>
          <w:i w:val="false"/>
          <w:color w:val="000000"/>
          <w:sz w:val="28"/>
        </w:rPr>
        <w:t>
      6. According to objective criteria, the subjects (objects) of control at high risk include private notaries and territorial notary chambers.</w:t>
      </w:r>
    </w:p>
    <w:p>
      <w:pPr>
        <w:spacing w:after="0"/>
        <w:ind w:left="0"/>
        <w:jc w:val="both"/>
      </w:pPr>
      <w:r>
        <w:rPr>
          <w:rFonts w:ascii="Times New Roman"/>
          <w:b w:val="false"/>
          <w:i w:val="false"/>
          <w:color w:val="000000"/>
          <w:sz w:val="28"/>
        </w:rPr>
        <w:t>
      Preventive control with visits to the subject (object) of control and (or) compliance checks shall be applied to the subjects (objects) of control classified as high risk.</w:t>
      </w:r>
    </w:p>
    <w:p>
      <w:pPr>
        <w:spacing w:after="0"/>
        <w:ind w:left="0"/>
        <w:jc w:val="both"/>
      </w:pPr>
      <w:r>
        <w:rPr>
          <w:rFonts w:ascii="Times New Roman"/>
          <w:b w:val="false"/>
          <w:i w:val="false"/>
          <w:color w:val="000000"/>
          <w:sz w:val="28"/>
        </w:rPr>
        <w:t>
      7. Control subjects (objects)  shall be attributed to a high risk depending on the likelihood of causing harm to the legitimate interests of individuals and legal entities, to the interests of the state resulting from the activities of control subjects (objects) related to ensuring the secrecy of notarial acts, protection of the rights of individuals and legal entities in the field of compliance with the legislation on personal data, which may lead to illegal dissemination of the secrecy of notarial acts, entail the violation of the state-guaranteed rights and freedoms of individuals and legal entities.</w:t>
      </w:r>
    </w:p>
    <w:p>
      <w:pPr>
        <w:spacing w:after="0"/>
        <w:ind w:left="0"/>
        <w:jc w:val="both"/>
      </w:pPr>
      <w:r>
        <w:rPr>
          <w:rFonts w:ascii="Times New Roman"/>
          <w:b w:val="false"/>
          <w:i w:val="false"/>
          <w:color w:val="000000"/>
          <w:sz w:val="28"/>
        </w:rPr>
        <w:t>
      8. Preventive control with visits to the subject (object) of control shall be conducted on the basis of semi-annual lists of preventive control with visits to the subject (object) of control.</w:t>
      </w:r>
    </w:p>
    <w:p>
      <w:pPr>
        <w:spacing w:after="0"/>
        <w:ind w:left="0"/>
        <w:jc w:val="both"/>
      </w:pPr>
      <w:r>
        <w:rPr>
          <w:rFonts w:ascii="Times New Roman"/>
          <w:b w:val="false"/>
          <w:i w:val="false"/>
          <w:color w:val="000000"/>
          <w:sz w:val="28"/>
        </w:rPr>
        <w:t>
      9. Compliance inspections of the subject (object) of control shall be conducted on the basis of the compliance schedule.</w:t>
      </w:r>
    </w:p>
    <w:p>
      <w:pPr>
        <w:spacing w:after="0"/>
        <w:ind w:left="0"/>
        <w:jc w:val="left"/>
      </w:pPr>
      <w:r>
        <w:rPr>
          <w:rFonts w:ascii="Times New Roman"/>
          <w:b/>
          <w:i w:val="false"/>
          <w:color w:val="000000"/>
        </w:rPr>
        <w:t xml:space="preserve"> Paragraph 2. Subjective criteria</w:t>
      </w:r>
    </w:p>
    <w:p>
      <w:pPr>
        <w:spacing w:after="0"/>
        <w:ind w:left="0"/>
        <w:jc w:val="both"/>
      </w:pPr>
      <w:r>
        <w:rPr>
          <w:rFonts w:ascii="Times New Roman"/>
          <w:b w:val="false"/>
          <w:i w:val="false"/>
          <w:color w:val="000000"/>
          <w:sz w:val="28"/>
        </w:rPr>
        <w:t>
      10. Determination of subjective criteria shall be carried out through the following steps:</w:t>
      </w:r>
    </w:p>
    <w:p>
      <w:pPr>
        <w:spacing w:after="0"/>
        <w:ind w:left="0"/>
        <w:jc w:val="both"/>
      </w:pPr>
      <w:r>
        <w:rPr>
          <w:rFonts w:ascii="Times New Roman"/>
          <w:b w:val="false"/>
          <w:i w:val="false"/>
          <w:color w:val="000000"/>
          <w:sz w:val="28"/>
        </w:rPr>
        <w:t>
      1) formation of the database and collection of information;</w:t>
      </w:r>
    </w:p>
    <w:p>
      <w:pPr>
        <w:spacing w:after="0"/>
        <w:ind w:left="0"/>
        <w:jc w:val="both"/>
      </w:pPr>
      <w:r>
        <w:rPr>
          <w:rFonts w:ascii="Times New Roman"/>
          <w:b w:val="false"/>
          <w:i w:val="false"/>
          <w:color w:val="000000"/>
          <w:sz w:val="28"/>
        </w:rPr>
        <w:t>
      2) information analysis and risk degree assessment.</w:t>
      </w:r>
    </w:p>
    <w:p>
      <w:pPr>
        <w:spacing w:after="0"/>
        <w:ind w:left="0"/>
        <w:jc w:val="both"/>
      </w:pPr>
      <w:r>
        <w:rPr>
          <w:rFonts w:ascii="Times New Roman"/>
          <w:b w:val="false"/>
          <w:i w:val="false"/>
          <w:color w:val="000000"/>
          <w:sz w:val="28"/>
        </w:rPr>
        <w:t>
      11. Formation of the database and collection of information is necessary to identify subjects (objects) of control that violate the legislation of the Republic of Kazakhstan in the field of notarial activities.</w:t>
      </w:r>
    </w:p>
    <w:p>
      <w:pPr>
        <w:spacing w:after="0"/>
        <w:ind w:left="0"/>
        <w:jc w:val="both"/>
      </w:pPr>
      <w:r>
        <w:rPr>
          <w:rFonts w:ascii="Times New Roman"/>
          <w:b w:val="false"/>
          <w:i w:val="false"/>
          <w:color w:val="000000"/>
          <w:sz w:val="28"/>
        </w:rPr>
        <w:t>
      To assess the degree of risks according to subjective criteria for carrying out preventive control with a visit to the subject (object) of control, the following information sources shall be used:</w:t>
      </w:r>
    </w:p>
    <w:p>
      <w:pPr>
        <w:spacing w:after="0"/>
        <w:ind w:left="0"/>
        <w:jc w:val="both"/>
      </w:pPr>
      <w:r>
        <w:rPr>
          <w:rFonts w:ascii="Times New Roman"/>
          <w:b w:val="false"/>
          <w:i w:val="false"/>
          <w:color w:val="000000"/>
          <w:sz w:val="28"/>
        </w:rPr>
        <w:t>
      1) results of the previous inspection and preventive control with visits to the subjects (objects) of control.</w:t>
      </w:r>
    </w:p>
    <w:p>
      <w:pPr>
        <w:spacing w:after="0"/>
        <w:ind w:left="0"/>
        <w:jc w:val="both"/>
      </w:pPr>
      <w:r>
        <w:rPr>
          <w:rFonts w:ascii="Times New Roman"/>
          <w:b w:val="false"/>
          <w:i w:val="false"/>
          <w:color w:val="000000"/>
          <w:sz w:val="28"/>
        </w:rPr>
        <w:t>
      To assess the degree of risk according to subjective criteria, the following information sources shall be used to conduct compliance check:</w:t>
      </w:r>
    </w:p>
    <w:p>
      <w:pPr>
        <w:spacing w:after="0"/>
        <w:ind w:left="0"/>
        <w:jc w:val="both"/>
      </w:pPr>
      <w:r>
        <w:rPr>
          <w:rFonts w:ascii="Times New Roman"/>
          <w:b w:val="false"/>
          <w:i w:val="false"/>
          <w:color w:val="000000"/>
          <w:sz w:val="28"/>
        </w:rPr>
        <w:t>
      1) results of the previous inspections of subjects (objects) of control;</w:t>
      </w:r>
    </w:p>
    <w:p>
      <w:pPr>
        <w:spacing w:after="0"/>
        <w:ind w:left="0"/>
        <w:jc w:val="both"/>
      </w:pPr>
      <w:r>
        <w:rPr>
          <w:rFonts w:ascii="Times New Roman"/>
          <w:b w:val="false"/>
          <w:i w:val="false"/>
          <w:color w:val="000000"/>
          <w:sz w:val="28"/>
        </w:rPr>
        <w:t>
      2) results of the analysis of information provided by authorized bodies and organizations.</w:t>
      </w:r>
    </w:p>
    <w:p>
      <w:pPr>
        <w:spacing w:after="0"/>
        <w:ind w:left="0"/>
        <w:jc w:val="both"/>
      </w:pPr>
      <w:r>
        <w:rPr>
          <w:rFonts w:ascii="Times New Roman"/>
          <w:b w:val="false"/>
          <w:i w:val="false"/>
          <w:color w:val="000000"/>
          <w:sz w:val="28"/>
        </w:rPr>
        <w:t>
      12. Based on available information sources, subjective criteria are divided into three degrees of violation: gross, significant, minor.</w:t>
      </w:r>
    </w:p>
    <w:p>
      <w:pPr>
        <w:spacing w:after="0"/>
        <w:ind w:left="0"/>
        <w:jc w:val="both"/>
      </w:pPr>
      <w:r>
        <w:rPr>
          <w:rFonts w:ascii="Times New Roman"/>
          <w:b w:val="false"/>
          <w:i w:val="false"/>
          <w:color w:val="000000"/>
          <w:sz w:val="28"/>
        </w:rPr>
        <w:t>
      Analysis and assessment of subjective criteria will make it possible to focus the inspection and preventive control with a visit to the subject (object) of control in respect of the subject (object) of control with the highest potential risk.</w:t>
      </w:r>
    </w:p>
    <w:p>
      <w:pPr>
        <w:spacing w:after="0"/>
        <w:ind w:left="0"/>
        <w:jc w:val="both"/>
      </w:pPr>
      <w:r>
        <w:rPr>
          <w:rFonts w:ascii="Times New Roman"/>
          <w:b w:val="false"/>
          <w:i w:val="false"/>
          <w:color w:val="000000"/>
          <w:sz w:val="28"/>
        </w:rPr>
        <w:t>
      At the same time, data of subjective criteria, previously recorded and used in respect of a particular subject (object) of control or data for which the statute of limitations has expired in accordance with the legislation of the Republic of Kazakhstan shall not be applied in the analysis and evaluation.</w:t>
      </w:r>
    </w:p>
    <w:p>
      <w:pPr>
        <w:spacing w:after="0"/>
        <w:ind w:left="0"/>
        <w:jc w:val="both"/>
      </w:pPr>
      <w:r>
        <w:rPr>
          <w:rFonts w:ascii="Times New Roman"/>
          <w:b w:val="false"/>
          <w:i w:val="false"/>
          <w:color w:val="000000"/>
          <w:sz w:val="28"/>
        </w:rPr>
        <w:t>
      With regard to subjects (objects) of control that have eliminated in full the violations based on the issued results of the previous preventive control with a visit and (or) compliance check, they shall not be included in the formation of schedules and lists for the next period of state control.</w:t>
      </w:r>
    </w:p>
    <w:p>
      <w:pPr>
        <w:spacing w:after="0"/>
        <w:ind w:left="0"/>
        <w:jc w:val="both"/>
      </w:pPr>
      <w:r>
        <w:rPr>
          <w:rFonts w:ascii="Times New Roman"/>
          <w:b w:val="false"/>
          <w:i w:val="false"/>
          <w:color w:val="000000"/>
          <w:sz w:val="28"/>
        </w:rPr>
        <w:t>
      13. Depending on the possible risk and significance of the problem, the singularity or systematic nature of the violation, the analysis of previously made decisions for each source of information , subjective criteria are determined, which, in accordance with the criteria for assessing the degree of risk, shall correspond to the degree of violation - gross, significant and minor.</w:t>
      </w:r>
    </w:p>
    <w:p>
      <w:pPr>
        <w:spacing w:after="0"/>
        <w:ind w:left="0"/>
        <w:jc w:val="both"/>
      </w:pPr>
      <w:r>
        <w:rPr>
          <w:rFonts w:ascii="Times New Roman"/>
          <w:b w:val="false"/>
          <w:i w:val="false"/>
          <w:color w:val="000000"/>
          <w:sz w:val="28"/>
        </w:rPr>
        <w:t>
      Subjective criteria for assessing the degree of risk of the activities of subjects (objects) of control are set out in Appendix 3 to these Criteria</w:t>
      </w:r>
    </w:p>
    <w:p>
      <w:pPr>
        <w:spacing w:after="0"/>
        <w:ind w:left="0"/>
        <w:jc w:val="both"/>
      </w:pPr>
      <w:r>
        <w:rPr>
          <w:rFonts w:ascii="Times New Roman"/>
          <w:b w:val="false"/>
          <w:i w:val="false"/>
          <w:color w:val="000000"/>
          <w:sz w:val="28"/>
        </w:rPr>
        <w:t>
      14. Based on the priority of the used sources of information, in accordance with the calculation procedure, the total risk level indicator by subjective criteria shall be calculated by the total risk level indicator by subjective criteria on a scale from 0 to 100.</w:t>
      </w:r>
    </w:p>
    <w:p>
      <w:pPr>
        <w:spacing w:after="0"/>
        <w:ind w:left="0"/>
        <w:jc w:val="both"/>
      </w:pPr>
      <w:r>
        <w:rPr>
          <w:rFonts w:ascii="Times New Roman"/>
          <w:b w:val="false"/>
          <w:i w:val="false"/>
          <w:color w:val="000000"/>
          <w:sz w:val="28"/>
        </w:rPr>
        <w:t>
      According to the indicators of the degree of risk, the subject (object) of control belongs to a high degree of risk - with an indicator of the degree of risk from 71 to 100 inclusive and in relation to it, verification and preventive control shall be carried out with a visit to the subject (object) of control.</w:t>
      </w:r>
    </w:p>
    <w:p>
      <w:pPr>
        <w:spacing w:after="0"/>
        <w:ind w:left="0"/>
        <w:jc w:val="left"/>
      </w:pPr>
      <w:r>
        <w:rPr>
          <w:rFonts w:ascii="Times New Roman"/>
          <w:b/>
          <w:i w:val="false"/>
          <w:color w:val="000000"/>
        </w:rPr>
        <w:t xml:space="preserve"> Chapter 3. Procedure for calculating the total risk score by subjective criteria</w:t>
      </w:r>
    </w:p>
    <w:p>
      <w:pPr>
        <w:spacing w:after="0"/>
        <w:ind w:left="0"/>
        <w:jc w:val="both"/>
      </w:pPr>
      <w:r>
        <w:rPr>
          <w:rFonts w:ascii="Times New Roman"/>
          <w:b w:val="false"/>
          <w:i w:val="false"/>
          <w:color w:val="000000"/>
          <w:sz w:val="28"/>
        </w:rPr>
        <w:t>
      15. The state body shall collect information and form a database according to subjective criteria from sources in accordance with paragraph 11 of the Criteria.</w:t>
      </w:r>
    </w:p>
    <w:p>
      <w:pPr>
        <w:spacing w:after="0"/>
        <w:ind w:left="0"/>
        <w:jc w:val="both"/>
      </w:pPr>
      <w:r>
        <w:rPr>
          <w:rFonts w:ascii="Times New Roman"/>
          <w:b w:val="false"/>
          <w:i w:val="false"/>
          <w:color w:val="000000"/>
          <w:sz w:val="28"/>
        </w:rPr>
        <w:t>
      Calculation of the risk level indicator according to subjective criteria (R) shall be carried out in an automated mode by summing up the risk level indicator according to violations based on the results of previous inspections and preventive control with visiting control subjects (SP) and the risk level indicator according to subjective criteria determined in accordance with paragraph 14 of these Criteria (SC), with subsequent normalization of data values ​ ​ in the range from 0 to 100 points.</w:t>
      </w:r>
    </w:p>
    <w:p>
      <w:pPr>
        <w:spacing w:after="0"/>
        <w:ind w:left="0"/>
        <w:jc w:val="both"/>
      </w:pPr>
      <w:r>
        <w:rPr>
          <w:rFonts w:ascii="Times New Roman"/>
          <w:b w:val="false"/>
          <w:i w:val="false"/>
          <w:color w:val="000000"/>
          <w:sz w:val="28"/>
        </w:rPr>
        <w:t>
      Rprom = SP + SC, where</w:t>
      </w:r>
    </w:p>
    <w:p>
      <w:pPr>
        <w:spacing w:after="0"/>
        <w:ind w:left="0"/>
        <w:jc w:val="both"/>
      </w:pPr>
      <w:r>
        <w:rPr>
          <w:rFonts w:ascii="Times New Roman"/>
          <w:b w:val="false"/>
          <w:i w:val="false"/>
          <w:color w:val="000000"/>
          <w:sz w:val="28"/>
        </w:rPr>
        <w:t>
      Rprom shall be an intermediate indicator of the degree of risk according to subjective criteria,</w:t>
      </w:r>
    </w:p>
    <w:p>
      <w:pPr>
        <w:spacing w:after="0"/>
        <w:ind w:left="0"/>
        <w:jc w:val="both"/>
      </w:pPr>
      <w:r>
        <w:rPr>
          <w:rFonts w:ascii="Times New Roman"/>
          <w:b w:val="false"/>
          <w:i w:val="false"/>
          <w:color w:val="000000"/>
          <w:sz w:val="28"/>
        </w:rPr>
        <w:t>
      SP shall be an indicator of the degree of risk by violations,</w:t>
      </w:r>
    </w:p>
    <w:p>
      <w:pPr>
        <w:spacing w:after="0"/>
        <w:ind w:left="0"/>
        <w:jc w:val="both"/>
      </w:pPr>
      <w:r>
        <w:rPr>
          <w:rFonts w:ascii="Times New Roman"/>
          <w:b w:val="false"/>
          <w:i w:val="false"/>
          <w:color w:val="000000"/>
          <w:sz w:val="28"/>
        </w:rPr>
        <w:t>
      SC shall be an indicator of the degree of risk according to subjective criteria determined in accordance with paragraph 14 of the Criteria.</w:t>
      </w:r>
    </w:p>
    <w:p>
      <w:pPr>
        <w:spacing w:after="0"/>
        <w:ind w:left="0"/>
        <w:jc w:val="both"/>
      </w:pPr>
      <w:r>
        <w:rPr>
          <w:rFonts w:ascii="Times New Roman"/>
          <w:b w:val="false"/>
          <w:i w:val="false"/>
          <w:color w:val="000000"/>
          <w:sz w:val="28"/>
        </w:rPr>
        <w:t>
      The calculation shall be made for each control subject of a homogeneous group of control subjects of each sphere of state control. At the same time, the list of evaluated control subjects belonging to a homogeneous group of control subjects of one sphere of state control forms a selective set (sample) for subsequent normalization of data.</w:t>
      </w:r>
    </w:p>
    <w:p>
      <w:pPr>
        <w:spacing w:after="0"/>
        <w:ind w:left="0"/>
        <w:jc w:val="both"/>
      </w:pPr>
      <w:r>
        <w:rPr>
          <w:rFonts w:ascii="Times New Roman"/>
          <w:b w:val="false"/>
          <w:i w:val="false"/>
          <w:color w:val="000000"/>
          <w:sz w:val="28"/>
        </w:rPr>
        <w:t>
      16. To classify the control subject as a risk, the following procedure for calculating the risk level indicator shall be used.</w:t>
      </w:r>
    </w:p>
    <w:p>
      <w:pPr>
        <w:spacing w:after="0"/>
        <w:ind w:left="0"/>
        <w:jc w:val="both"/>
      </w:pPr>
      <w:r>
        <w:rPr>
          <w:rFonts w:ascii="Times New Roman"/>
          <w:b w:val="false"/>
          <w:i w:val="false"/>
          <w:color w:val="000000"/>
          <w:sz w:val="28"/>
        </w:rPr>
        <w:t>
      If one gross violation is detected, the control subject is equated with a risk level indicator of 100 points and a check for compliance with the requirements or preventive control with a visit to the control subject shall be carried out against it.</w:t>
      </w:r>
    </w:p>
    <w:p>
      <w:pPr>
        <w:spacing w:after="0"/>
        <w:ind w:left="0"/>
        <w:jc w:val="both"/>
      </w:pPr>
      <w:r>
        <w:rPr>
          <w:rFonts w:ascii="Times New Roman"/>
          <w:b w:val="false"/>
          <w:i w:val="false"/>
          <w:color w:val="000000"/>
          <w:sz w:val="28"/>
        </w:rPr>
        <w:t>
      If gross violations are not detected, the determination of the risk level indicator is calculated by the total indicator for violations of a significant and insignificant degree.</w:t>
      </w:r>
    </w:p>
    <w:p>
      <w:pPr>
        <w:spacing w:after="0"/>
        <w:ind w:left="0"/>
        <w:jc w:val="both"/>
      </w:pPr>
      <w:r>
        <w:rPr>
          <w:rFonts w:ascii="Times New Roman"/>
          <w:b w:val="false"/>
          <w:i w:val="false"/>
          <w:color w:val="000000"/>
          <w:sz w:val="28"/>
        </w:rPr>
        <w:t>
      When determining a significant disturbance indicator, a coefficient of 0.7 is used and this indicator shall be calculated using the following formula:</w:t>
      </w:r>
    </w:p>
    <w:p>
      <w:pPr>
        <w:spacing w:after="0"/>
        <w:ind w:left="0"/>
        <w:jc w:val="both"/>
      </w:pPr>
      <w:r>
        <w:rPr>
          <w:rFonts w:ascii="Times New Roman"/>
          <w:b w:val="false"/>
          <w:i w:val="false"/>
          <w:color w:val="000000"/>
          <w:sz w:val="28"/>
        </w:rPr>
        <w:t>
      SRz = (SP2 х 100/SP1) х 0.7</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SRz - an indicator of significant violations;</w:t>
      </w:r>
    </w:p>
    <w:p>
      <w:pPr>
        <w:spacing w:after="0"/>
        <w:ind w:left="0"/>
        <w:jc w:val="both"/>
      </w:pPr>
      <w:r>
        <w:rPr>
          <w:rFonts w:ascii="Times New Roman"/>
          <w:b w:val="false"/>
          <w:i w:val="false"/>
          <w:color w:val="000000"/>
          <w:sz w:val="28"/>
        </w:rPr>
        <w:t>
      SP1 - the required number of significant violations;</w:t>
      </w:r>
    </w:p>
    <w:p>
      <w:pPr>
        <w:spacing w:after="0"/>
        <w:ind w:left="0"/>
        <w:jc w:val="both"/>
      </w:pPr>
      <w:r>
        <w:rPr>
          <w:rFonts w:ascii="Times New Roman"/>
          <w:b w:val="false"/>
          <w:i w:val="false"/>
          <w:color w:val="000000"/>
          <w:sz w:val="28"/>
        </w:rPr>
        <w:t>
      SP2 - number of detected significant violations;</w:t>
      </w:r>
    </w:p>
    <w:p>
      <w:pPr>
        <w:spacing w:after="0"/>
        <w:ind w:left="0"/>
        <w:jc w:val="both"/>
      </w:pPr>
      <w:r>
        <w:rPr>
          <w:rFonts w:ascii="Times New Roman"/>
          <w:b w:val="false"/>
          <w:i w:val="false"/>
          <w:color w:val="000000"/>
          <w:sz w:val="28"/>
        </w:rPr>
        <w:t>
      when determining the indicator of minor violations, a coefficient of 0.3 is used and this indicator is calculated using the following formula:</w:t>
      </w:r>
    </w:p>
    <w:p>
      <w:pPr>
        <w:spacing w:after="0"/>
        <w:ind w:left="0"/>
        <w:jc w:val="both"/>
      </w:pPr>
      <w:r>
        <w:rPr>
          <w:rFonts w:ascii="Times New Roman"/>
          <w:b w:val="false"/>
          <w:i w:val="false"/>
          <w:color w:val="000000"/>
          <w:sz w:val="28"/>
        </w:rPr>
        <w:t>
      SРн = (SP2 х 100/SP1) х 0.3</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SP1 - required number of minor violations;</w:t>
      </w:r>
    </w:p>
    <w:p>
      <w:pPr>
        <w:spacing w:after="0"/>
        <w:ind w:left="0"/>
        <w:jc w:val="both"/>
      </w:pPr>
      <w:r>
        <w:rPr>
          <w:rFonts w:ascii="Times New Roman"/>
          <w:b w:val="false"/>
          <w:i w:val="false"/>
          <w:color w:val="000000"/>
          <w:sz w:val="28"/>
        </w:rPr>
        <w:t>
      SP2 - number of detected minor violations;</w:t>
      </w:r>
    </w:p>
    <w:p>
      <w:pPr>
        <w:spacing w:after="0"/>
        <w:ind w:left="0"/>
        <w:jc w:val="both"/>
      </w:pPr>
      <w:r>
        <w:rPr>
          <w:rFonts w:ascii="Times New Roman"/>
          <w:b w:val="false"/>
          <w:i w:val="false"/>
          <w:color w:val="000000"/>
          <w:sz w:val="28"/>
        </w:rPr>
        <w:t>
      The overall risk score (SP) is calculated on a scale of 0 to 100 and is determined by summing significant and minor impairment scores using the following formula:</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SP - a general indicator of the degree of risk;</w:t>
      </w:r>
    </w:p>
    <w:p>
      <w:pPr>
        <w:spacing w:after="0"/>
        <w:ind w:left="0"/>
        <w:jc w:val="both"/>
      </w:pPr>
      <w:r>
        <w:rPr>
          <w:rFonts w:ascii="Times New Roman"/>
          <w:b w:val="false"/>
          <w:i w:val="false"/>
          <w:color w:val="000000"/>
          <w:sz w:val="28"/>
        </w:rPr>
        <w:t>
      SРз - an indicator of significant violations;</w:t>
      </w:r>
    </w:p>
    <w:p>
      <w:pPr>
        <w:spacing w:after="0"/>
        <w:ind w:left="0"/>
        <w:jc w:val="both"/>
      </w:pPr>
      <w:r>
        <w:rPr>
          <w:rFonts w:ascii="Times New Roman"/>
          <w:b w:val="false"/>
          <w:i w:val="false"/>
          <w:color w:val="000000"/>
          <w:sz w:val="28"/>
        </w:rPr>
        <w:t>
      SРн - an indicator of minor violations.</w:t>
      </w:r>
    </w:p>
    <w:p>
      <w:pPr>
        <w:spacing w:after="0"/>
        <w:ind w:left="0"/>
        <w:jc w:val="both"/>
      </w:pPr>
      <w:r>
        <w:rPr>
          <w:rFonts w:ascii="Times New Roman"/>
          <w:b w:val="false"/>
          <w:i w:val="false"/>
          <w:color w:val="000000"/>
          <w:sz w:val="28"/>
        </w:rPr>
        <w:t>
      17. Calculation of the risk level according to subjective criteria determined in accordance with paragraph 14 of the Criteria shall be carried out on a scale from 0 to 100 points and shall be carried out according to the following formula:</w:t>
      </w:r>
    </w:p>
    <w:p>
      <w:pPr>
        <w:spacing w:after="0"/>
        <w:ind w:left="0"/>
        <w:jc w:val="both"/>
      </w:pPr>
      <w:r>
        <w:rPr>
          <w:rFonts w:ascii="Times New Roman"/>
          <w:b w:val="false"/>
          <w:i w:val="false"/>
          <w:color w:val="000000"/>
          <w:sz w:val="28"/>
        </w:rPr>
        <w:t>
      xi - an indicator of the subjective criterion,</w:t>
      </w:r>
    </w:p>
    <w:p>
      <w:pPr>
        <w:spacing w:after="0"/>
        <w:ind w:left="0"/>
        <w:jc w:val="both"/>
      </w:pPr>
      <w:r>
        <w:rPr>
          <w:rFonts w:ascii="Times New Roman"/>
          <w:b w:val="false"/>
          <w:i w:val="false"/>
          <w:color w:val="000000"/>
          <w:sz w:val="28"/>
        </w:rPr>
        <w:t>
      wi - specific gravity of the index of subjective criterion xi,</w:t>
      </w:r>
    </w:p>
    <w:p>
      <w:pPr>
        <w:spacing w:after="0"/>
        <w:ind w:left="0"/>
        <w:jc w:val="both"/>
      </w:pPr>
      <w:r>
        <w:rPr>
          <w:rFonts w:ascii="Times New Roman"/>
          <w:b w:val="false"/>
          <w:i w:val="false"/>
          <w:color w:val="000000"/>
          <w:sz w:val="28"/>
        </w:rPr>
        <w:t>
      n - the number of indicators.</w:t>
      </w:r>
    </w:p>
    <w:p>
      <w:pPr>
        <w:spacing w:after="0"/>
        <w:ind w:left="0"/>
        <w:jc w:val="both"/>
      </w:pPr>
      <w:r>
        <w:rPr>
          <w:rFonts w:ascii="Times New Roman"/>
          <w:b w:val="false"/>
          <w:i w:val="false"/>
          <w:color w:val="000000"/>
          <w:sz w:val="28"/>
        </w:rPr>
        <w:t>
      The obtained value of the risk level indicator according to subjective criteria shall be included in the calculation of the risk level indicator according to subjective criteria.</w:t>
      </w:r>
    </w:p>
    <w:p>
      <w:pPr>
        <w:spacing w:after="0"/>
        <w:ind w:left="0"/>
        <w:jc w:val="both"/>
      </w:pPr>
      <w:r>
        <w:rPr>
          <w:rFonts w:ascii="Times New Roman"/>
          <w:b w:val="false"/>
          <w:i w:val="false"/>
          <w:color w:val="000000"/>
          <w:sz w:val="28"/>
        </w:rPr>
        <w:t>
      The values calculated by subjects (objects) for the R parameter shall be normalized in the range from 0 to 100 points. Data normalization shall be carried out for each sample set (sample) using the following formula:</w:t>
      </w:r>
    </w:p>
    <w:p>
      <w:pPr>
        <w:spacing w:after="0"/>
        <w:ind w:left="0"/>
        <w:jc w:val="both"/>
      </w:pPr>
      <w:r>
        <w:rPr>
          <w:rFonts w:ascii="Times New Roman"/>
          <w:b w:val="false"/>
          <w:i w:val="false"/>
          <w:color w:val="000000"/>
          <w:sz w:val="28"/>
        </w:rPr>
        <w:t>
      R - an indicator of the degree of risk (final) according to the subjective criteria of an individual subject (object) of control,</w:t>
      </w:r>
    </w:p>
    <w:p>
      <w:pPr>
        <w:spacing w:after="0"/>
        <w:ind w:left="0"/>
        <w:jc w:val="both"/>
      </w:pPr>
      <w:r>
        <w:rPr>
          <w:rFonts w:ascii="Times New Roman"/>
          <w:b w:val="false"/>
          <w:i w:val="false"/>
          <w:color w:val="000000"/>
          <w:sz w:val="28"/>
        </w:rPr>
        <w:t>
      Rmax - the maximum possible value on the scale of the degree of risk according to subjective criteria for subjects (objects) included in one selective set (sample) (upper limit of the scale),</w:t>
      </w:r>
    </w:p>
    <w:p>
      <w:pPr>
        <w:spacing w:after="0"/>
        <w:ind w:left="0"/>
        <w:jc w:val="both"/>
      </w:pPr>
      <w:r>
        <w:rPr>
          <w:rFonts w:ascii="Times New Roman"/>
          <w:b w:val="false"/>
          <w:i w:val="false"/>
          <w:color w:val="000000"/>
          <w:sz w:val="28"/>
        </w:rPr>
        <w:t>
      Rmin - the minimum possible value on the scale of the degree of risk according to subjective criteria for subjects (objects) included in one selective set (sample) (lower limit of the scale),</w:t>
      </w:r>
    </w:p>
    <w:p>
      <w:pPr>
        <w:spacing w:after="0"/>
        <w:ind w:left="0"/>
        <w:jc w:val="both"/>
      </w:pPr>
      <w:r>
        <w:rPr>
          <w:rFonts w:ascii="Times New Roman"/>
          <w:b w:val="false"/>
          <w:i w:val="false"/>
          <w:color w:val="000000"/>
          <w:sz w:val="28"/>
        </w:rPr>
        <w:t>
      Rprom - an intermediate indicator of the degree of risk according to subjective criteria, calculated in accordance with paragraph 15 of the Criteria.</w:t>
      </w:r>
    </w:p>
    <w:p>
      <w:pPr>
        <w:spacing w:after="0"/>
        <w:ind w:left="0"/>
        <w:jc w:val="both"/>
      </w:pPr>
      <w:r>
        <w:rPr>
          <w:rFonts w:ascii="Times New Roman"/>
          <w:b w:val="false"/>
          <w:i w:val="false"/>
          <w:color w:val="000000"/>
          <w:sz w:val="28"/>
        </w:rPr>
        <w:t>
      18. The frequency of preventive control with a visit to the subject (object) of control and verification for compliance with the requirements shall be determined by the criteria for assessing the degree of risk, but not more often than twice a year.</w:t>
      </w:r>
    </w:p>
    <w:p>
      <w:pPr>
        <w:spacing w:after="0"/>
        <w:ind w:left="0"/>
        <w:jc w:val="both"/>
      </w:pPr>
      <w:r>
        <w:rPr>
          <w:rFonts w:ascii="Times New Roman"/>
          <w:b w:val="false"/>
          <w:i w:val="false"/>
          <w:color w:val="000000"/>
          <w:sz w:val="28"/>
        </w:rPr>
        <w:t>
      19. A semi-annual list of preventive control with a visit to the subject (object) of control and a schedule of verifications for compliance with the requirements shall be compiled taking into account the priority of the subject of control with the highest indicator of the degree of risk according to subjective criteria.</w:t>
      </w:r>
    </w:p>
    <w:p>
      <w:pPr>
        <w:spacing w:after="0"/>
        <w:ind w:left="0"/>
        <w:jc w:val="left"/>
      </w:pPr>
      <w:r>
        <w:rPr>
          <w:rFonts w:ascii="Times New Roman"/>
          <w:b/>
          <w:i w:val="false"/>
          <w:color w:val="000000"/>
        </w:rPr>
        <w:t xml:space="preserve"> Chapter 4. Checklists</w:t>
      </w:r>
    </w:p>
    <w:p>
      <w:pPr>
        <w:spacing w:after="0"/>
        <w:ind w:left="0"/>
        <w:jc w:val="both"/>
      </w:pPr>
      <w:r>
        <w:rPr>
          <w:rFonts w:ascii="Times New Roman"/>
          <w:b w:val="false"/>
          <w:i w:val="false"/>
          <w:color w:val="000000"/>
          <w:sz w:val="28"/>
        </w:rPr>
        <w:t>
      20. Checklists shall be drawn up for homogeneous groups of subjects (objects) of control and shall include requirements in accordance with paragraph 2 of Article 132 of the Code and in compliance with the conditions defined in paragraph 2 of Article 143 of the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evaluation criteria</w:t>
            </w:r>
            <w:r>
              <w:br/>
            </w:r>
            <w:r>
              <w:rPr>
                <w:rFonts w:ascii="Times New Roman"/>
                <w:b w:val="false"/>
                <w:i w:val="false"/>
                <w:color w:val="000000"/>
                <w:sz w:val="20"/>
              </w:rPr>
              <w:t>degree of risk in the sphere</w:t>
            </w:r>
            <w:r>
              <w:br/>
            </w:r>
            <w:r>
              <w:rPr>
                <w:rFonts w:ascii="Times New Roman"/>
                <w:b w:val="false"/>
                <w:i w:val="false"/>
                <w:color w:val="000000"/>
                <w:sz w:val="20"/>
              </w:rPr>
              <w:t>of notarial activity</w:t>
            </w:r>
          </w:p>
        </w:tc>
      </w:tr>
    </w:tbl>
    <w:p>
      <w:pPr>
        <w:spacing w:after="0"/>
        <w:ind w:left="0"/>
        <w:jc w:val="left"/>
      </w:pPr>
      <w:r>
        <w:rPr>
          <w:rFonts w:ascii="Times New Roman"/>
          <w:b/>
          <w:i w:val="false"/>
          <w:color w:val="000000"/>
        </w:rPr>
        <w:t xml:space="preserve"> Degree of violation of the requirements for assessing the degree of risk of activities </w:t>
      </w:r>
      <w:r>
        <w:br/>
      </w:r>
      <w:r>
        <w:rPr>
          <w:rFonts w:ascii="Times New Roman"/>
          <w:b/>
          <w:i w:val="false"/>
          <w:color w:val="000000"/>
        </w:rPr>
        <w:t>of control subjects for conducting inspections and preventive control of control subjects (objects)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private notaries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secret of notarial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premises suitable for unhindered access of individuals and representatives of legal entities, ensuring the safety of notarial office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the state body of financial monitoring and the authorized body in the field of combating the legalization (laundering) of proceeds from crime and the financing of terrorism with information and information on transactions subject to financial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compulsory civil liability insurance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the subject of control within a month to the territorial body of justice with information about the change in his surname, name, patronymic (if any), as well as the location of his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Inappropriate notarial record keeping:</w:t>
            </w:r>
          </w:p>
          <w:p>
            <w:pPr>
              <w:spacing w:after="20"/>
              <w:ind w:left="20"/>
              <w:jc w:val="both"/>
            </w:pPr>
            <w:r>
              <w:rPr>
                <w:rFonts w:ascii="Times New Roman"/>
                <w:b w:val="false"/>
                <w:i w:val="false"/>
                <w:color w:val="000000"/>
                <w:sz w:val="20"/>
              </w:rPr>
              <w:t>
receipt, registration and sending of documents;</w:t>
            </w:r>
          </w:p>
          <w:p>
            <w:pPr>
              <w:spacing w:after="20"/>
              <w:ind w:left="20"/>
              <w:jc w:val="both"/>
            </w:pPr>
            <w:r>
              <w:rPr>
                <w:rFonts w:ascii="Times New Roman"/>
                <w:b w:val="false"/>
                <w:i w:val="false"/>
                <w:color w:val="000000"/>
                <w:sz w:val="20"/>
              </w:rPr>
              <w:t>
drawing up a list of cases;</w:t>
            </w:r>
          </w:p>
          <w:p>
            <w:pPr>
              <w:spacing w:after="20"/>
              <w:ind w:left="20"/>
              <w:jc w:val="both"/>
            </w:pPr>
            <w:r>
              <w:rPr>
                <w:rFonts w:ascii="Times New Roman"/>
                <w:b w:val="false"/>
                <w:i w:val="false"/>
                <w:color w:val="000000"/>
                <w:sz w:val="20"/>
              </w:rPr>
              <w:t>
formation of cases;</w:t>
            </w:r>
          </w:p>
          <w:p>
            <w:pPr>
              <w:spacing w:after="20"/>
              <w:ind w:left="20"/>
              <w:jc w:val="both"/>
            </w:pPr>
            <w:r>
              <w:rPr>
                <w:rFonts w:ascii="Times New Roman"/>
                <w:b w:val="false"/>
                <w:i w:val="false"/>
                <w:color w:val="000000"/>
                <w:sz w:val="20"/>
              </w:rPr>
              <w:t>
registration and preparation of a register of cases;</w:t>
            </w:r>
          </w:p>
          <w:p>
            <w:pPr>
              <w:spacing w:after="20"/>
              <w:ind w:left="20"/>
              <w:jc w:val="both"/>
            </w:pPr>
            <w:r>
              <w:rPr>
                <w:rFonts w:ascii="Times New Roman"/>
                <w:b w:val="false"/>
                <w:i w:val="false"/>
                <w:color w:val="000000"/>
                <w:sz w:val="20"/>
              </w:rPr>
              <w:t>
storage of documents;</w:t>
            </w:r>
          </w:p>
          <w:p>
            <w:pPr>
              <w:spacing w:after="20"/>
              <w:ind w:left="20"/>
              <w:jc w:val="both"/>
            </w:pPr>
            <w:r>
              <w:rPr>
                <w:rFonts w:ascii="Times New Roman"/>
                <w:b w:val="false"/>
                <w:i w:val="false"/>
                <w:color w:val="000000"/>
                <w:sz w:val="20"/>
              </w:rPr>
              <w:t>
transfer of cases to the public or private notary archives;</w:t>
            </w:r>
          </w:p>
          <w:p>
            <w:pPr>
              <w:spacing w:after="20"/>
              <w:ind w:left="20"/>
              <w:jc w:val="both"/>
            </w:pPr>
            <w:r>
              <w:rPr>
                <w:rFonts w:ascii="Times New Roman"/>
                <w:b w:val="false"/>
                <w:i w:val="false"/>
                <w:color w:val="000000"/>
                <w:sz w:val="20"/>
              </w:rPr>
              <w:t>
ensuring the preservation of archival documents;</w:t>
            </w:r>
          </w:p>
          <w:p>
            <w:pPr>
              <w:spacing w:after="20"/>
              <w:ind w:left="20"/>
              <w:jc w:val="both"/>
            </w:pPr>
            <w:r>
              <w:rPr>
                <w:rFonts w:ascii="Times New Roman"/>
                <w:b w:val="false"/>
                <w:i w:val="false"/>
                <w:color w:val="000000"/>
                <w:sz w:val="20"/>
              </w:rPr>
              <w:t>
destruction of affairs;</w:t>
            </w:r>
          </w:p>
          <w:p>
            <w:pPr>
              <w:spacing w:after="20"/>
              <w:ind w:left="20"/>
              <w:jc w:val="both"/>
            </w:pPr>
            <w:r>
              <w:rPr>
                <w:rFonts w:ascii="Times New Roman"/>
                <w:b w:val="false"/>
                <w:i w:val="false"/>
                <w:color w:val="000000"/>
                <w:sz w:val="20"/>
              </w:rPr>
              <w:t>
use and storage of the seal, stamps and electronic digital signature of the notary;</w:t>
            </w:r>
          </w:p>
          <w:p>
            <w:pPr>
              <w:spacing w:after="20"/>
              <w:ind w:left="20"/>
              <w:jc w:val="both"/>
            </w:pPr>
            <w:r>
              <w:rPr>
                <w:rFonts w:ascii="Times New Roman"/>
                <w:b w:val="false"/>
                <w:i w:val="false"/>
                <w:color w:val="000000"/>
                <w:sz w:val="20"/>
              </w:rPr>
              <w:t>
formation and registration of hereditary affairs;</w:t>
            </w:r>
          </w:p>
          <w:p>
            <w:pPr>
              <w:spacing w:after="20"/>
              <w:ind w:left="20"/>
              <w:jc w:val="both"/>
            </w:pPr>
            <w:r>
              <w:rPr>
                <w:rFonts w:ascii="Times New Roman"/>
                <w:b w:val="false"/>
                <w:i w:val="false"/>
                <w:color w:val="000000"/>
                <w:sz w:val="20"/>
              </w:rPr>
              <w:t>
accounting for wills; execution of documents intended to perform actions abroad;</w:t>
            </w:r>
          </w:p>
          <w:p>
            <w:pPr>
              <w:spacing w:after="20"/>
              <w:ind w:left="20"/>
              <w:jc w:val="both"/>
            </w:pPr>
            <w:r>
              <w:rPr>
                <w:rFonts w:ascii="Times New Roman"/>
                <w:b w:val="false"/>
                <w:i w:val="false"/>
                <w:color w:val="000000"/>
                <w:sz w:val="20"/>
              </w:rPr>
              <w:t>
availability and maintenance of the register of registration of notarial actions, as well as registration of notarial actions in the electronic register of the Unified notarial information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Inappropriate notarial actions, namely:</w:t>
            </w:r>
          </w:p>
          <w:p>
            <w:pPr>
              <w:spacing w:after="20"/>
              <w:ind w:left="20"/>
              <w:jc w:val="both"/>
            </w:pPr>
            <w:r>
              <w:rPr>
                <w:rFonts w:ascii="Times New Roman"/>
                <w:b w:val="false"/>
                <w:i w:val="false"/>
                <w:color w:val="000000"/>
                <w:sz w:val="20"/>
              </w:rPr>
              <w:t>
certification of the transaction;</w:t>
            </w:r>
          </w:p>
          <w:p>
            <w:pPr>
              <w:spacing w:after="20"/>
              <w:ind w:left="20"/>
              <w:jc w:val="both"/>
            </w:pPr>
            <w:r>
              <w:rPr>
                <w:rFonts w:ascii="Times New Roman"/>
                <w:b w:val="false"/>
                <w:i w:val="false"/>
                <w:color w:val="000000"/>
                <w:sz w:val="20"/>
              </w:rPr>
              <w:t>
certificate of constituent documents of business associations;</w:t>
            </w:r>
          </w:p>
          <w:p>
            <w:pPr>
              <w:spacing w:after="20"/>
              <w:ind w:left="20"/>
              <w:jc w:val="both"/>
            </w:pPr>
            <w:r>
              <w:rPr>
                <w:rFonts w:ascii="Times New Roman"/>
                <w:b w:val="false"/>
                <w:i w:val="false"/>
                <w:color w:val="000000"/>
                <w:sz w:val="20"/>
              </w:rPr>
              <w:t>
appointment of a trustee of the inheritance;</w:t>
            </w:r>
          </w:p>
          <w:p>
            <w:pPr>
              <w:spacing w:after="20"/>
              <w:ind w:left="20"/>
              <w:jc w:val="both"/>
            </w:pPr>
            <w:r>
              <w:rPr>
                <w:rFonts w:ascii="Times New Roman"/>
                <w:b w:val="false"/>
                <w:i w:val="false"/>
                <w:color w:val="000000"/>
                <w:sz w:val="20"/>
              </w:rPr>
              <w:t>
issuance of a certificate of right to inheritance;</w:t>
            </w:r>
          </w:p>
          <w:p>
            <w:pPr>
              <w:spacing w:after="20"/>
              <w:ind w:left="20"/>
              <w:jc w:val="both"/>
            </w:pPr>
            <w:r>
              <w:rPr>
                <w:rFonts w:ascii="Times New Roman"/>
                <w:b w:val="false"/>
                <w:i w:val="false"/>
                <w:color w:val="000000"/>
                <w:sz w:val="20"/>
              </w:rPr>
              <w:t>
issuance of a certificate of ownership of a share in the common property of spouses and other individuals who have property on the right of common joint ownership;</w:t>
            </w:r>
          </w:p>
          <w:p>
            <w:pPr>
              <w:spacing w:after="20"/>
              <w:ind w:left="20"/>
              <w:jc w:val="both"/>
            </w:pPr>
            <w:r>
              <w:rPr>
                <w:rFonts w:ascii="Times New Roman"/>
                <w:b w:val="false"/>
                <w:i w:val="false"/>
                <w:color w:val="000000"/>
                <w:sz w:val="20"/>
              </w:rPr>
              <w:t>
certification of the accuracy of copies of documents and extracts from them;</w:t>
            </w:r>
          </w:p>
          <w:p>
            <w:pPr>
              <w:spacing w:after="20"/>
              <w:ind w:left="20"/>
              <w:jc w:val="both"/>
            </w:pPr>
            <w:r>
              <w:rPr>
                <w:rFonts w:ascii="Times New Roman"/>
                <w:b w:val="false"/>
                <w:i w:val="false"/>
                <w:color w:val="000000"/>
                <w:sz w:val="20"/>
              </w:rPr>
              <w:t>
verifying the authenticity of the signature on the documents; certification of the fidelity of translation of documents from one language to another;</w:t>
            </w:r>
          </w:p>
          <w:p>
            <w:pPr>
              <w:spacing w:after="20"/>
              <w:ind w:left="20"/>
              <w:jc w:val="both"/>
            </w:pPr>
            <w:r>
              <w:rPr>
                <w:rFonts w:ascii="Times New Roman"/>
                <w:b w:val="false"/>
                <w:i w:val="false"/>
                <w:color w:val="000000"/>
                <w:sz w:val="20"/>
              </w:rPr>
              <w:t>
certification of the fact that the citizen is alive;</w:t>
            </w:r>
          </w:p>
          <w:p>
            <w:pPr>
              <w:spacing w:after="20"/>
              <w:ind w:left="20"/>
              <w:jc w:val="both"/>
            </w:pPr>
            <w:r>
              <w:rPr>
                <w:rFonts w:ascii="Times New Roman"/>
                <w:b w:val="false"/>
                <w:i w:val="false"/>
                <w:color w:val="000000"/>
                <w:sz w:val="20"/>
              </w:rPr>
              <w:t>
certification of the fact that a citizen is in a certain place;</w:t>
            </w:r>
          </w:p>
          <w:p>
            <w:pPr>
              <w:spacing w:after="20"/>
              <w:ind w:left="20"/>
              <w:jc w:val="both"/>
            </w:pPr>
            <w:r>
              <w:rPr>
                <w:rFonts w:ascii="Times New Roman"/>
                <w:b w:val="false"/>
                <w:i w:val="false"/>
                <w:color w:val="000000"/>
                <w:sz w:val="20"/>
              </w:rPr>
              <w:t>
certification of the time of presentation of documents;</w:t>
            </w:r>
          </w:p>
          <w:p>
            <w:pPr>
              <w:spacing w:after="20"/>
              <w:ind w:left="20"/>
              <w:jc w:val="both"/>
            </w:pPr>
            <w:r>
              <w:rPr>
                <w:rFonts w:ascii="Times New Roman"/>
                <w:b w:val="false"/>
                <w:i w:val="false"/>
                <w:color w:val="000000"/>
                <w:sz w:val="20"/>
              </w:rPr>
              <w:t>
transfer of the application of individuals and legal entities to other individuals and legal entities;</w:t>
            </w:r>
          </w:p>
          <w:p>
            <w:pPr>
              <w:spacing w:after="20"/>
              <w:ind w:left="20"/>
              <w:jc w:val="both"/>
            </w:pPr>
            <w:r>
              <w:rPr>
                <w:rFonts w:ascii="Times New Roman"/>
                <w:b w:val="false"/>
                <w:i w:val="false"/>
                <w:color w:val="000000"/>
                <w:sz w:val="20"/>
              </w:rPr>
              <w:t>
accepting money into a deposit;</w:t>
            </w:r>
          </w:p>
          <w:p>
            <w:pPr>
              <w:spacing w:after="20"/>
              <w:ind w:left="20"/>
              <w:jc w:val="both"/>
            </w:pPr>
            <w:r>
              <w:rPr>
                <w:rFonts w:ascii="Times New Roman"/>
                <w:b w:val="false"/>
                <w:i w:val="false"/>
                <w:color w:val="000000"/>
                <w:sz w:val="20"/>
              </w:rPr>
              <w:t>
execution of as-built inscription;</w:t>
            </w:r>
          </w:p>
          <w:p>
            <w:pPr>
              <w:spacing w:after="20"/>
              <w:ind w:left="20"/>
              <w:jc w:val="both"/>
            </w:pPr>
            <w:r>
              <w:rPr>
                <w:rFonts w:ascii="Times New Roman"/>
                <w:b w:val="false"/>
                <w:i w:val="false"/>
                <w:color w:val="000000"/>
                <w:sz w:val="20"/>
              </w:rPr>
              <w:t>
certification of the settlement agreement;</w:t>
            </w:r>
          </w:p>
          <w:p>
            <w:pPr>
              <w:spacing w:after="20"/>
              <w:ind w:left="20"/>
              <w:jc w:val="both"/>
            </w:pPr>
            <w:r>
              <w:rPr>
                <w:rFonts w:ascii="Times New Roman"/>
                <w:b w:val="false"/>
                <w:i w:val="false"/>
                <w:color w:val="000000"/>
                <w:sz w:val="20"/>
              </w:rPr>
              <w:t>
making a protest of promissory notes;</w:t>
            </w:r>
          </w:p>
          <w:p>
            <w:pPr>
              <w:spacing w:after="20"/>
              <w:ind w:left="20"/>
              <w:jc w:val="both"/>
            </w:pPr>
            <w:r>
              <w:rPr>
                <w:rFonts w:ascii="Times New Roman"/>
                <w:b w:val="false"/>
                <w:i w:val="false"/>
                <w:color w:val="000000"/>
                <w:sz w:val="20"/>
              </w:rPr>
              <w:t>
acceptance of documents and securities for storage;</w:t>
            </w:r>
          </w:p>
          <w:p>
            <w:pPr>
              <w:spacing w:after="20"/>
              <w:ind w:left="20"/>
              <w:jc w:val="both"/>
            </w:pPr>
            <w:r>
              <w:rPr>
                <w:rFonts w:ascii="Times New Roman"/>
                <w:b w:val="false"/>
                <w:i w:val="false"/>
                <w:color w:val="000000"/>
                <w:sz w:val="20"/>
              </w:rPr>
              <w:t>
carrying out maritime protests; securing evidence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territorial notary chambers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private notarial archive, organization of their functions for accumulation, storage and use of notarial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secret of notarial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ensure the organization of insurance by private notaries of civil liability and failure to inform the territorial bodies of justice about cases of evasion of private notaries from the conclusion of a compulsory insurance contract for their civil liability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notary chambers with information on their activities following the results of the half-year and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evaluation criteria</w:t>
            </w:r>
            <w:r>
              <w:br/>
            </w:r>
            <w:r>
              <w:rPr>
                <w:rFonts w:ascii="Times New Roman"/>
                <w:b w:val="false"/>
                <w:i w:val="false"/>
                <w:color w:val="000000"/>
                <w:sz w:val="20"/>
              </w:rPr>
              <w:t>degree of risk in the sphere</w:t>
            </w:r>
            <w:r>
              <w:br/>
            </w:r>
            <w:r>
              <w:rPr>
                <w:rFonts w:ascii="Times New Roman"/>
                <w:b w:val="false"/>
                <w:i w:val="false"/>
                <w:color w:val="000000"/>
                <w:sz w:val="20"/>
              </w:rPr>
              <w:t>of notarial activity</w:t>
            </w:r>
          </w:p>
        </w:tc>
      </w:tr>
    </w:tbl>
    <w:p>
      <w:pPr>
        <w:spacing w:after="0"/>
        <w:ind w:left="0"/>
        <w:jc w:val="left"/>
      </w:pPr>
      <w:r>
        <w:rPr>
          <w:rFonts w:ascii="Times New Roman"/>
          <w:b/>
          <w:i w:val="false"/>
          <w:color w:val="000000"/>
        </w:rPr>
        <w:t xml:space="preserve"> Degree of violations of the requirements of subjects (objects) of control </w:t>
      </w:r>
      <w:r>
        <w:br/>
      </w:r>
      <w:r>
        <w:rPr>
          <w:rFonts w:ascii="Times New Roman"/>
          <w:b/>
          <w:i w:val="false"/>
          <w:color w:val="000000"/>
        </w:rPr>
        <w:t>in the field of notarial activities for verification of compliance with the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private notaries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compulsory civil liability insurance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evaluation criteria</w:t>
            </w:r>
            <w:r>
              <w:br/>
            </w:r>
            <w:r>
              <w:rPr>
                <w:rFonts w:ascii="Times New Roman"/>
                <w:b w:val="false"/>
                <w:i w:val="false"/>
                <w:color w:val="000000"/>
                <w:sz w:val="20"/>
              </w:rPr>
              <w:t>degree of risk in the sphere</w:t>
            </w:r>
            <w:r>
              <w:br/>
            </w:r>
            <w:r>
              <w:rPr>
                <w:rFonts w:ascii="Times New Roman"/>
                <w:b w:val="false"/>
                <w:i w:val="false"/>
                <w:color w:val="000000"/>
                <w:sz w:val="20"/>
              </w:rPr>
              <w:t>of notarial activity</w:t>
            </w:r>
          </w:p>
        </w:tc>
      </w:tr>
    </w:tbl>
    <w:p>
      <w:pPr>
        <w:spacing w:after="0"/>
        <w:ind w:left="0"/>
        <w:jc w:val="left"/>
      </w:pPr>
      <w:r>
        <w:rPr>
          <w:rFonts w:ascii="Times New Roman"/>
          <w:b/>
          <w:i w:val="false"/>
          <w:color w:val="000000"/>
        </w:rPr>
        <w:t xml:space="preserve"> List of subjective criteria for determining the degree of risk in relation to notaries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gravity by significance, point (in total should not exceed 100 points),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verify for compliance with the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compulsory civil liability insurance contract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authorized bodies and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authorized bodies and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confirmed/0%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joint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6, 2018 № 1529 and </w:t>
            </w:r>
            <w:r>
              <w:br/>
            </w:r>
            <w:r>
              <w:rPr>
                <w:rFonts w:ascii="Times New Roman"/>
                <w:b w:val="false"/>
                <w:i w:val="false"/>
                <w:color w:val="000000"/>
                <w:sz w:val="20"/>
              </w:rPr>
              <w:t>of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6, 2018 № 60</w:t>
            </w:r>
          </w:p>
        </w:tc>
      </w:tr>
    </w:tbl>
    <w:p>
      <w:pPr>
        <w:spacing w:after="0"/>
        <w:ind w:left="0"/>
        <w:jc w:val="both"/>
      </w:pPr>
      <w:r>
        <w:rPr>
          <w:rFonts w:ascii="Times New Roman"/>
          <w:b w:val="false"/>
          <w:i w:val="false"/>
          <w:color w:val="ff0000"/>
          <w:sz w:val="28"/>
        </w:rPr>
        <w:t>
      Footnote. Annex 2 as excluded by the joint order of the Minister of Justice of the Republic of Kazakhstan dated 30.11.2022 № 982 and the Minister of National Economy of the Republic of Kazakhstan 30.11.2022 № 110 (shall enter into force dated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6, 2018 № 1529 and </w:t>
            </w:r>
            <w:r>
              <w:br/>
            </w:r>
            <w:r>
              <w:rPr>
                <w:rFonts w:ascii="Times New Roman"/>
                <w:b w:val="false"/>
                <w:i w:val="false"/>
                <w:color w:val="000000"/>
                <w:sz w:val="20"/>
              </w:rPr>
              <w:t>of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6, 2018 № 60</w:t>
            </w:r>
          </w:p>
        </w:tc>
      </w:tr>
    </w:tbl>
    <w:p>
      <w:pPr>
        <w:spacing w:after="0"/>
        <w:ind w:left="0"/>
        <w:jc w:val="both"/>
      </w:pPr>
      <w:r>
        <w:rPr>
          <w:rFonts w:ascii="Times New Roman"/>
          <w:b w:val="false"/>
          <w:i w:val="false"/>
          <w:color w:val="ff0000"/>
          <w:sz w:val="28"/>
        </w:rPr>
        <w:t>
      Footnote. Annex 3 as excluded by the joint order of the Minister of Justice of the Republic of Kazakhstan dated 30.11.2022 № 982 and the Minister of National Economy of the Republic of Kazakhstan 30.11.2022 № 110 (shall enter into force dated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6, 2018 № 1529 and </w:t>
            </w:r>
            <w:r>
              <w:br/>
            </w:r>
            <w:r>
              <w:rPr>
                <w:rFonts w:ascii="Times New Roman"/>
                <w:b w:val="false"/>
                <w:i w:val="false"/>
                <w:color w:val="000000"/>
                <w:sz w:val="20"/>
              </w:rPr>
              <w:t>of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6, 2018 № 60</w:t>
            </w:r>
          </w:p>
        </w:tc>
      </w:tr>
    </w:tbl>
    <w:bookmarkStart w:name="z378" w:id="0"/>
    <w:p>
      <w:pPr>
        <w:spacing w:after="0"/>
        <w:ind w:left="0"/>
        <w:jc w:val="left"/>
      </w:pPr>
      <w:r>
        <w:rPr>
          <w:rFonts w:ascii="Times New Roman"/>
          <w:b/>
          <w:i w:val="false"/>
          <w:color w:val="000000"/>
        </w:rPr>
        <w:t xml:space="preserve"> Checklist</w:t>
      </w:r>
    </w:p>
    <w:bookmarkEnd w:id="0"/>
    <w:p>
      <w:pPr>
        <w:spacing w:after="0"/>
        <w:ind w:left="0"/>
        <w:jc w:val="both"/>
      </w:pPr>
      <w:r>
        <w:rPr>
          <w:rFonts w:ascii="Times New Roman"/>
          <w:b w:val="false"/>
          <w:i w:val="false"/>
          <w:color w:val="ff0000"/>
          <w:sz w:val="28"/>
        </w:rPr>
        <w:t>
      Footnote. Annex 4 - as amended by the joint order of the Minister of Justice of the Republic of Kazakhstan dated 13.11.2023 № 812 and of the Minister of National Economy of the Republic of Kazakhstan dated 14.11.2023 № 176 (shall enter into force upon expiry of ten calendar days after the day of its first official publication).</w:t>
      </w:r>
    </w:p>
    <w:bookmarkStart w:name="z479" w:id="1"/>
    <w:p>
      <w:pPr>
        <w:spacing w:after="0"/>
        <w:ind w:left="0"/>
        <w:jc w:val="both"/>
      </w:pPr>
      <w:r>
        <w:rPr>
          <w:rFonts w:ascii="Times New Roman"/>
          <w:b w:val="false"/>
          <w:i w:val="false"/>
          <w:color w:val="000000"/>
          <w:sz w:val="28"/>
        </w:rPr>
        <w:t>
      In the field of notarial activity</w:t>
      </w:r>
    </w:p>
    <w:bookmarkEnd w:id="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 accordance with the Entrepreneur Code of the Republic of Kazakhstan</w:t>
      </w:r>
    </w:p>
    <w:p>
      <w:pPr>
        <w:spacing w:after="0"/>
        <w:ind w:left="0"/>
        <w:jc w:val="both"/>
      </w:pPr>
      <w:r>
        <w:rPr>
          <w:rFonts w:ascii="Times New Roman"/>
          <w:b w:val="false"/>
          <w:i w:val="false"/>
          <w:color w:val="000000"/>
          <w:sz w:val="28"/>
        </w:rPr>
        <w:t>
      in relation to a private notary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homogeneous group of control subjects State body,</w:t>
      </w:r>
    </w:p>
    <w:p>
      <w:pPr>
        <w:spacing w:after="0"/>
        <w:ind w:left="0"/>
        <w:jc w:val="both"/>
      </w:pPr>
      <w:r>
        <w:rPr>
          <w:rFonts w:ascii="Times New Roman"/>
          <w:b w:val="false"/>
          <w:i w:val="false"/>
          <w:color w:val="000000"/>
          <w:sz w:val="28"/>
        </w:rPr>
        <w:t xml:space="preserve">
      who appointed the verification in relation to the subject of control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Certificate on the verification of the appointment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control subject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of the number of the control subject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residence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conform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compulsory civil liability insurance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2"/>
    <w:p>
      <w:pPr>
        <w:spacing w:after="0"/>
        <w:ind w:left="0"/>
        <w:jc w:val="both"/>
      </w:pPr>
      <w:r>
        <w:rPr>
          <w:rFonts w:ascii="Times New Roman"/>
          <w:b w:val="false"/>
          <w:i w:val="false"/>
          <w:color w:val="000000"/>
          <w:sz w:val="28"/>
        </w:rPr>
        <w:t>
      Official (s):</w:t>
      </w:r>
    </w:p>
    <w:bookmarkEnd w:id="2"/>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(last name, first name, patronymic (if any) position) (signature)</w:t>
      </w:r>
    </w:p>
    <w:p>
      <w:pPr>
        <w:spacing w:after="0"/>
        <w:ind w:left="0"/>
        <w:jc w:val="both"/>
      </w:pPr>
      <w:r>
        <w:rPr>
          <w:rFonts w:ascii="Times New Roman"/>
          <w:b w:val="false"/>
          <w:i w:val="false"/>
          <w:color w:val="000000"/>
          <w:sz w:val="28"/>
        </w:rPr>
        <w:t>
      Head of the control subject</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joint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November 6, 2018 № 1529 and</w:t>
            </w:r>
            <w:r>
              <w:br/>
            </w:r>
            <w:r>
              <w:rPr>
                <w:rFonts w:ascii="Times New Roman"/>
                <w:b w:val="false"/>
                <w:i w:val="false"/>
                <w:color w:val="000000"/>
                <w:sz w:val="20"/>
              </w:rPr>
              <w:t>of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6, 2018 № 60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5 - as amended by the joint order of the Minister of Justice of the Republic of Kazakhstan dated 13.11.2023 № 812 and the Minister of National Economy of the Republic of Kazakhstan dated 14.11.2023 № 176 (shall enter into force upon expiry of ten calendar days after the day of its first official publication).</w:t>
      </w:r>
    </w:p>
    <w:bookmarkStart w:name="z481" w:id="3"/>
    <w:p>
      <w:pPr>
        <w:spacing w:after="0"/>
        <w:ind w:left="0"/>
        <w:jc w:val="both"/>
      </w:pPr>
      <w:r>
        <w:rPr>
          <w:rFonts w:ascii="Times New Roman"/>
          <w:b w:val="false"/>
          <w:i w:val="false"/>
          <w:color w:val="000000"/>
          <w:sz w:val="28"/>
        </w:rPr>
        <w:t>
      In the field of the notarial activity</w:t>
      </w:r>
    </w:p>
    <w:bookmarkEnd w:id="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 accordance with the Entrepreneur Code of the Republic of Kazakhstan</w:t>
      </w:r>
    </w:p>
    <w:p>
      <w:pPr>
        <w:spacing w:after="0"/>
        <w:ind w:left="0"/>
        <w:jc w:val="both"/>
      </w:pPr>
      <w:r>
        <w:rPr>
          <w:rFonts w:ascii="Times New Roman"/>
          <w:b w:val="false"/>
          <w:i w:val="false"/>
          <w:color w:val="000000"/>
          <w:sz w:val="28"/>
        </w:rPr>
        <w:t>
      in relation to a private notary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homogeneous group of control subjects State body,</w:t>
      </w:r>
    </w:p>
    <w:p>
      <w:pPr>
        <w:spacing w:after="0"/>
        <w:ind w:left="0"/>
        <w:jc w:val="both"/>
      </w:pPr>
      <w:r>
        <w:rPr>
          <w:rFonts w:ascii="Times New Roman"/>
          <w:b w:val="false"/>
          <w:i w:val="false"/>
          <w:color w:val="000000"/>
          <w:sz w:val="28"/>
        </w:rPr>
        <w:t>
      who appointed the verification/preventive control with a visit to the subject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verification/preventive control with subject visit</w:t>
      </w:r>
    </w:p>
    <w:p>
      <w:pPr>
        <w:spacing w:after="0"/>
        <w:ind w:left="0"/>
        <w:jc w:val="both"/>
      </w:pPr>
      <w:r>
        <w:rPr>
          <w:rFonts w:ascii="Times New Roman"/>
          <w:b w:val="false"/>
          <w:i w:val="false"/>
          <w:color w:val="000000"/>
          <w:sz w:val="28"/>
        </w:rPr>
        <w:t>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subject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of the subject control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residence____________________________________________________________________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conform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secret of notarial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premises suitable for unhindered access of individuals and representatives of legal entities, ensuring the safety of notarial office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the control entity with information and information on transactions subject to financial monitoring to the state financial monitoring body and the authorized body in the field of combating the legalization (laundering) of proceeds from crime and the financing of terrorism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the subject of control within a month to the territorial body of justice with information about the amendment in his surname, name, patronymic (if any), as well as the location of his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Inappropriate notarial record keeping:</w:t>
            </w:r>
          </w:p>
          <w:p>
            <w:pPr>
              <w:spacing w:after="20"/>
              <w:ind w:left="20"/>
              <w:jc w:val="both"/>
            </w:pPr>
            <w:r>
              <w:rPr>
                <w:rFonts w:ascii="Times New Roman"/>
                <w:b w:val="false"/>
                <w:i w:val="false"/>
                <w:color w:val="000000"/>
                <w:sz w:val="20"/>
              </w:rPr>
              <w:t>
receipt, registration and sending of documents;</w:t>
            </w:r>
          </w:p>
          <w:p>
            <w:pPr>
              <w:spacing w:after="20"/>
              <w:ind w:left="20"/>
              <w:jc w:val="both"/>
            </w:pPr>
            <w:r>
              <w:rPr>
                <w:rFonts w:ascii="Times New Roman"/>
                <w:b w:val="false"/>
                <w:i w:val="false"/>
                <w:color w:val="000000"/>
                <w:sz w:val="20"/>
              </w:rPr>
              <w:t>
drawing up a list of cases; formation of cases;</w:t>
            </w:r>
          </w:p>
          <w:p>
            <w:pPr>
              <w:spacing w:after="20"/>
              <w:ind w:left="20"/>
              <w:jc w:val="both"/>
            </w:pPr>
            <w:r>
              <w:rPr>
                <w:rFonts w:ascii="Times New Roman"/>
                <w:b w:val="false"/>
                <w:i w:val="false"/>
                <w:color w:val="000000"/>
                <w:sz w:val="20"/>
              </w:rPr>
              <w:t>
registration and preparation of a register of cases;</w:t>
            </w:r>
          </w:p>
          <w:p>
            <w:pPr>
              <w:spacing w:after="20"/>
              <w:ind w:left="20"/>
              <w:jc w:val="both"/>
            </w:pPr>
            <w:r>
              <w:rPr>
                <w:rFonts w:ascii="Times New Roman"/>
                <w:b w:val="false"/>
                <w:i w:val="false"/>
                <w:color w:val="000000"/>
                <w:sz w:val="20"/>
              </w:rPr>
              <w:t>
storage of documents; transfer of cases to the public or private notary archives;</w:t>
            </w:r>
          </w:p>
          <w:p>
            <w:pPr>
              <w:spacing w:after="20"/>
              <w:ind w:left="20"/>
              <w:jc w:val="both"/>
            </w:pPr>
            <w:r>
              <w:rPr>
                <w:rFonts w:ascii="Times New Roman"/>
                <w:b w:val="false"/>
                <w:i w:val="false"/>
                <w:color w:val="000000"/>
                <w:sz w:val="20"/>
              </w:rPr>
              <w:t>
ensuring the preservation of archival documents;</w:t>
            </w:r>
          </w:p>
          <w:p>
            <w:pPr>
              <w:spacing w:after="20"/>
              <w:ind w:left="20"/>
              <w:jc w:val="both"/>
            </w:pPr>
            <w:r>
              <w:rPr>
                <w:rFonts w:ascii="Times New Roman"/>
                <w:b w:val="false"/>
                <w:i w:val="false"/>
                <w:color w:val="000000"/>
                <w:sz w:val="20"/>
              </w:rPr>
              <w:t>
destruction of affairs;</w:t>
            </w:r>
          </w:p>
          <w:p>
            <w:pPr>
              <w:spacing w:after="20"/>
              <w:ind w:left="20"/>
              <w:jc w:val="both"/>
            </w:pPr>
            <w:r>
              <w:rPr>
                <w:rFonts w:ascii="Times New Roman"/>
                <w:b w:val="false"/>
                <w:i w:val="false"/>
                <w:color w:val="000000"/>
                <w:sz w:val="20"/>
              </w:rPr>
              <w:t>
use and storage of the seal, stamps and electronic digital signature of the notary;</w:t>
            </w:r>
          </w:p>
          <w:p>
            <w:pPr>
              <w:spacing w:after="20"/>
              <w:ind w:left="20"/>
              <w:jc w:val="both"/>
            </w:pPr>
            <w:r>
              <w:rPr>
                <w:rFonts w:ascii="Times New Roman"/>
                <w:b w:val="false"/>
                <w:i w:val="false"/>
                <w:color w:val="000000"/>
                <w:sz w:val="20"/>
              </w:rPr>
              <w:t>
formation and registration of hereditary affairs;</w:t>
            </w:r>
          </w:p>
          <w:p>
            <w:pPr>
              <w:spacing w:after="20"/>
              <w:ind w:left="20"/>
              <w:jc w:val="both"/>
            </w:pPr>
            <w:r>
              <w:rPr>
                <w:rFonts w:ascii="Times New Roman"/>
                <w:b w:val="false"/>
                <w:i w:val="false"/>
                <w:color w:val="000000"/>
                <w:sz w:val="20"/>
              </w:rPr>
              <w:t>
accounting for wills; execution of documents intended to perform actions abroad;</w:t>
            </w:r>
          </w:p>
          <w:p>
            <w:pPr>
              <w:spacing w:after="20"/>
              <w:ind w:left="20"/>
              <w:jc w:val="both"/>
            </w:pPr>
            <w:r>
              <w:rPr>
                <w:rFonts w:ascii="Times New Roman"/>
                <w:b w:val="false"/>
                <w:i w:val="false"/>
                <w:color w:val="000000"/>
                <w:sz w:val="20"/>
              </w:rPr>
              <w:t>
availability and maintenance of the register of registration of notarial actions, as well as registration of notarial actions in the electronic register of the Unified Notarial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Inappropriate notarial actions, namely:</w:t>
            </w:r>
          </w:p>
          <w:p>
            <w:pPr>
              <w:spacing w:after="20"/>
              <w:ind w:left="20"/>
              <w:jc w:val="both"/>
            </w:pPr>
            <w:r>
              <w:rPr>
                <w:rFonts w:ascii="Times New Roman"/>
                <w:b w:val="false"/>
                <w:i w:val="false"/>
                <w:color w:val="000000"/>
                <w:sz w:val="20"/>
              </w:rPr>
              <w:t>
certification of the transaction;</w:t>
            </w:r>
          </w:p>
          <w:p>
            <w:pPr>
              <w:spacing w:after="20"/>
              <w:ind w:left="20"/>
              <w:jc w:val="both"/>
            </w:pPr>
            <w:r>
              <w:rPr>
                <w:rFonts w:ascii="Times New Roman"/>
                <w:b w:val="false"/>
                <w:i w:val="false"/>
                <w:color w:val="000000"/>
                <w:sz w:val="20"/>
              </w:rPr>
              <w:t>
certificate of constituent documents of business associations;</w:t>
            </w:r>
          </w:p>
          <w:p>
            <w:pPr>
              <w:spacing w:after="20"/>
              <w:ind w:left="20"/>
              <w:jc w:val="both"/>
            </w:pPr>
            <w:r>
              <w:rPr>
                <w:rFonts w:ascii="Times New Roman"/>
                <w:b w:val="false"/>
                <w:i w:val="false"/>
                <w:color w:val="000000"/>
                <w:sz w:val="20"/>
              </w:rPr>
              <w:t>
appointment of a trustee of the inheritance;</w:t>
            </w:r>
          </w:p>
          <w:p>
            <w:pPr>
              <w:spacing w:after="20"/>
              <w:ind w:left="20"/>
              <w:jc w:val="both"/>
            </w:pPr>
            <w:r>
              <w:rPr>
                <w:rFonts w:ascii="Times New Roman"/>
                <w:b w:val="false"/>
                <w:i w:val="false"/>
                <w:color w:val="000000"/>
                <w:sz w:val="20"/>
              </w:rPr>
              <w:t>
issuance of a certificate of right to inheritance;</w:t>
            </w:r>
          </w:p>
          <w:p>
            <w:pPr>
              <w:spacing w:after="20"/>
              <w:ind w:left="20"/>
              <w:jc w:val="both"/>
            </w:pPr>
            <w:r>
              <w:rPr>
                <w:rFonts w:ascii="Times New Roman"/>
                <w:b w:val="false"/>
                <w:i w:val="false"/>
                <w:color w:val="000000"/>
                <w:sz w:val="20"/>
              </w:rPr>
              <w:t>
issuance of a certificate of ownership of a share in the common property of spouses and other individuals who have property on the right of common joint ownership;</w:t>
            </w:r>
          </w:p>
          <w:p>
            <w:pPr>
              <w:spacing w:after="20"/>
              <w:ind w:left="20"/>
              <w:jc w:val="both"/>
            </w:pPr>
            <w:r>
              <w:rPr>
                <w:rFonts w:ascii="Times New Roman"/>
                <w:b w:val="false"/>
                <w:i w:val="false"/>
                <w:color w:val="000000"/>
                <w:sz w:val="20"/>
              </w:rPr>
              <w:t>
certification of the accuracy of copies of documents and extracts from them;</w:t>
            </w:r>
          </w:p>
          <w:p>
            <w:pPr>
              <w:spacing w:after="20"/>
              <w:ind w:left="20"/>
              <w:jc w:val="both"/>
            </w:pPr>
            <w:r>
              <w:rPr>
                <w:rFonts w:ascii="Times New Roman"/>
                <w:b w:val="false"/>
                <w:i w:val="false"/>
                <w:color w:val="000000"/>
                <w:sz w:val="20"/>
              </w:rPr>
              <w:t>
verifying the authenticity of the signature on the documents;</w:t>
            </w:r>
          </w:p>
          <w:p>
            <w:pPr>
              <w:spacing w:after="20"/>
              <w:ind w:left="20"/>
              <w:jc w:val="both"/>
            </w:pPr>
            <w:r>
              <w:rPr>
                <w:rFonts w:ascii="Times New Roman"/>
                <w:b w:val="false"/>
                <w:i w:val="false"/>
                <w:color w:val="000000"/>
                <w:sz w:val="20"/>
              </w:rPr>
              <w:t>
certification of the fidelity of translation of documents from one language to another;</w:t>
            </w:r>
          </w:p>
          <w:p>
            <w:pPr>
              <w:spacing w:after="20"/>
              <w:ind w:left="20"/>
              <w:jc w:val="both"/>
            </w:pPr>
            <w:r>
              <w:rPr>
                <w:rFonts w:ascii="Times New Roman"/>
                <w:b w:val="false"/>
                <w:i w:val="false"/>
                <w:color w:val="000000"/>
                <w:sz w:val="20"/>
              </w:rPr>
              <w:t>
certification of the fact that the citizen is alive;</w:t>
            </w:r>
          </w:p>
          <w:p>
            <w:pPr>
              <w:spacing w:after="20"/>
              <w:ind w:left="20"/>
              <w:jc w:val="both"/>
            </w:pPr>
            <w:r>
              <w:rPr>
                <w:rFonts w:ascii="Times New Roman"/>
                <w:b w:val="false"/>
                <w:i w:val="false"/>
                <w:color w:val="000000"/>
                <w:sz w:val="20"/>
              </w:rPr>
              <w:t>
certification of the fact that a citizen is in a certain place;</w:t>
            </w:r>
          </w:p>
          <w:p>
            <w:pPr>
              <w:spacing w:after="20"/>
              <w:ind w:left="20"/>
              <w:jc w:val="both"/>
            </w:pPr>
            <w:r>
              <w:rPr>
                <w:rFonts w:ascii="Times New Roman"/>
                <w:b w:val="false"/>
                <w:i w:val="false"/>
                <w:color w:val="000000"/>
                <w:sz w:val="20"/>
              </w:rPr>
              <w:t>
certification of the time of presentation of documents;</w:t>
            </w:r>
          </w:p>
          <w:p>
            <w:pPr>
              <w:spacing w:after="20"/>
              <w:ind w:left="20"/>
              <w:jc w:val="both"/>
            </w:pPr>
            <w:r>
              <w:rPr>
                <w:rFonts w:ascii="Times New Roman"/>
                <w:b w:val="false"/>
                <w:i w:val="false"/>
                <w:color w:val="000000"/>
                <w:sz w:val="20"/>
              </w:rPr>
              <w:t>
transfer of the application of individuals and legal entities to other individuals and legal entities;</w:t>
            </w:r>
          </w:p>
          <w:p>
            <w:pPr>
              <w:spacing w:after="20"/>
              <w:ind w:left="20"/>
              <w:jc w:val="both"/>
            </w:pPr>
            <w:r>
              <w:rPr>
                <w:rFonts w:ascii="Times New Roman"/>
                <w:b w:val="false"/>
                <w:i w:val="false"/>
                <w:color w:val="000000"/>
                <w:sz w:val="20"/>
              </w:rPr>
              <w:t>
accepting money into a deposit;</w:t>
            </w:r>
          </w:p>
          <w:p>
            <w:pPr>
              <w:spacing w:after="20"/>
              <w:ind w:left="20"/>
              <w:jc w:val="both"/>
            </w:pPr>
            <w:r>
              <w:rPr>
                <w:rFonts w:ascii="Times New Roman"/>
                <w:b w:val="false"/>
                <w:i w:val="false"/>
                <w:color w:val="000000"/>
                <w:sz w:val="20"/>
              </w:rPr>
              <w:t>
execution of as-built inscription;</w:t>
            </w:r>
          </w:p>
          <w:p>
            <w:pPr>
              <w:spacing w:after="20"/>
              <w:ind w:left="20"/>
              <w:jc w:val="both"/>
            </w:pPr>
            <w:r>
              <w:rPr>
                <w:rFonts w:ascii="Times New Roman"/>
                <w:b w:val="false"/>
                <w:i w:val="false"/>
                <w:color w:val="000000"/>
                <w:sz w:val="20"/>
              </w:rPr>
              <w:t>
certification of the settlement agreement;</w:t>
            </w:r>
          </w:p>
          <w:p>
            <w:pPr>
              <w:spacing w:after="20"/>
              <w:ind w:left="20"/>
              <w:jc w:val="both"/>
            </w:pPr>
            <w:r>
              <w:rPr>
                <w:rFonts w:ascii="Times New Roman"/>
                <w:b w:val="false"/>
                <w:i w:val="false"/>
                <w:color w:val="000000"/>
                <w:sz w:val="20"/>
              </w:rPr>
              <w:t>
making a protest of promissory notes;</w:t>
            </w:r>
          </w:p>
          <w:p>
            <w:pPr>
              <w:spacing w:after="20"/>
              <w:ind w:left="20"/>
              <w:jc w:val="both"/>
            </w:pPr>
            <w:r>
              <w:rPr>
                <w:rFonts w:ascii="Times New Roman"/>
                <w:b w:val="false"/>
                <w:i w:val="false"/>
                <w:color w:val="000000"/>
                <w:sz w:val="20"/>
              </w:rPr>
              <w:t>
acceptance of documents and securities for storage;</w:t>
            </w:r>
          </w:p>
          <w:p>
            <w:pPr>
              <w:spacing w:after="20"/>
              <w:ind w:left="20"/>
              <w:jc w:val="both"/>
            </w:pPr>
            <w:r>
              <w:rPr>
                <w:rFonts w:ascii="Times New Roman"/>
                <w:b w:val="false"/>
                <w:i w:val="false"/>
                <w:color w:val="000000"/>
                <w:sz w:val="20"/>
              </w:rPr>
              <w:t>
carrying out maritime protests;</w:t>
            </w:r>
          </w:p>
          <w:p>
            <w:pPr>
              <w:spacing w:after="20"/>
              <w:ind w:left="20"/>
              <w:jc w:val="both"/>
            </w:pPr>
            <w:r>
              <w:rPr>
                <w:rFonts w:ascii="Times New Roman"/>
                <w:b w:val="false"/>
                <w:i w:val="false"/>
                <w:color w:val="000000"/>
                <w:sz w:val="20"/>
              </w:rPr>
              <w:t>
providing evidence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
    <w:p>
      <w:pPr>
        <w:spacing w:after="0"/>
        <w:ind w:left="0"/>
        <w:jc w:val="both"/>
      </w:pPr>
      <w:r>
        <w:rPr>
          <w:rFonts w:ascii="Times New Roman"/>
          <w:b w:val="false"/>
          <w:i w:val="false"/>
          <w:color w:val="000000"/>
          <w:sz w:val="28"/>
        </w:rPr>
        <w:t>
      Official (s):</w:t>
      </w:r>
    </w:p>
    <w:bookmarkEnd w:id="4"/>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 last name, first name, patronymic (if any) position) (signature)</w:t>
      </w:r>
    </w:p>
    <w:p>
      <w:pPr>
        <w:spacing w:after="0"/>
        <w:ind w:left="0"/>
        <w:jc w:val="both"/>
      </w:pPr>
      <w:r>
        <w:rPr>
          <w:rFonts w:ascii="Times New Roman"/>
          <w:b w:val="false"/>
          <w:i w:val="false"/>
          <w:color w:val="000000"/>
          <w:sz w:val="28"/>
        </w:rPr>
        <w:t>
      Head of the control subject</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Justice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6, 2018 № 1529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of the Minister of National Economy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6, 2018 № 60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The joint order as added by Annex 6 in accordance with the joint order of the Minister of Justice of the Republic of Kazakhstan dated 13.11.2023 № 812 and the Minister of National Economy of the Republic of Kazakhstan dated 14.11.2023 № 176 (shall enter into force upon expiry of ten calendar days after the day of its first official publication).</w:t>
      </w:r>
    </w:p>
    <w:bookmarkStart w:name="z483" w:id="5"/>
    <w:p>
      <w:pPr>
        <w:spacing w:after="0"/>
        <w:ind w:left="0"/>
        <w:jc w:val="both"/>
      </w:pPr>
      <w:r>
        <w:rPr>
          <w:rFonts w:ascii="Times New Roman"/>
          <w:b w:val="false"/>
          <w:i w:val="false"/>
          <w:color w:val="000000"/>
          <w:sz w:val="28"/>
        </w:rPr>
        <w:t>
      In the field of notarial activity _______________________________________</w:t>
      </w:r>
    </w:p>
    <w:bookmarkEnd w:id="5"/>
    <w:p>
      <w:pPr>
        <w:spacing w:after="0"/>
        <w:ind w:left="0"/>
        <w:jc w:val="both"/>
      </w:pPr>
      <w:r>
        <w:rPr>
          <w:rFonts w:ascii="Times New Roman"/>
          <w:b w:val="false"/>
          <w:i w:val="false"/>
          <w:color w:val="000000"/>
          <w:sz w:val="28"/>
        </w:rPr>
        <w:t>
      in accordance with the Entrepreneur Code of the Republic of Kazakhstan in relation to</w:t>
      </w:r>
    </w:p>
    <w:p>
      <w:pPr>
        <w:spacing w:after="0"/>
        <w:ind w:left="0"/>
        <w:jc w:val="both"/>
      </w:pPr>
      <w:r>
        <w:rPr>
          <w:rFonts w:ascii="Times New Roman"/>
          <w:b w:val="false"/>
          <w:i w:val="false"/>
          <w:color w:val="000000"/>
          <w:sz w:val="28"/>
        </w:rPr>
        <w:t>
      territorial notary chamber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homogeneous group of subjects (objects) of control State</w:t>
      </w:r>
    </w:p>
    <w:p>
      <w:pPr>
        <w:spacing w:after="0"/>
        <w:ind w:left="0"/>
        <w:jc w:val="both"/>
      </w:pPr>
      <w:r>
        <w:rPr>
          <w:rFonts w:ascii="Times New Roman"/>
          <w:b w:val="false"/>
          <w:i w:val="false"/>
          <w:color w:val="000000"/>
          <w:sz w:val="28"/>
        </w:rPr>
        <w:t>
      the body that appointed the inspection/preventive control with the visit of the subject</w:t>
      </w:r>
    </w:p>
    <w:p>
      <w:pPr>
        <w:spacing w:after="0"/>
        <w:ind w:left="0"/>
        <w:jc w:val="both"/>
      </w:pPr>
      <w:r>
        <w:rPr>
          <w:rFonts w:ascii="Times New Roman"/>
          <w:b w:val="false"/>
          <w:i w:val="false"/>
          <w:color w:val="000000"/>
          <w:sz w:val="28"/>
        </w:rPr>
        <w:t>
      control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Act on appointment of verification/preventive control with subject visit</w:t>
      </w:r>
    </w:p>
    <w:p>
      <w:pPr>
        <w:spacing w:after="0"/>
        <w:ind w:left="0"/>
        <w:jc w:val="both"/>
      </w:pPr>
      <w:r>
        <w:rPr>
          <w:rFonts w:ascii="Times New Roman"/>
          <w:b w:val="false"/>
          <w:i w:val="false"/>
          <w:color w:val="000000"/>
          <w:sz w:val="28"/>
        </w:rPr>
        <w:t>
      (object) of control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 date)</w:t>
      </w:r>
    </w:p>
    <w:p>
      <w:pPr>
        <w:spacing w:after="0"/>
        <w:ind w:left="0"/>
        <w:jc w:val="both"/>
      </w:pPr>
      <w:r>
        <w:rPr>
          <w:rFonts w:ascii="Times New Roman"/>
          <w:b w:val="false"/>
          <w:i w:val="false"/>
          <w:color w:val="000000"/>
          <w:sz w:val="28"/>
        </w:rPr>
        <w:t>
      Name of the subject (object) of control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Business ID number of the control entity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Address of the residence________________________________________________________________________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conform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private notarial archive, organization of their functions for accumulation, storage and use of notarial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secret of notarial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ensure the organization of insurance by private notaries of civil liability and failure to inform the territorial bodies of justice about cases of evasion of private notaries from the conclusion of a compulsory insurance contract for their civil liability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notary chambers with information on their activities following the results of the half-year and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6"/>
    <w:p>
      <w:pPr>
        <w:spacing w:after="0"/>
        <w:ind w:left="0"/>
        <w:jc w:val="both"/>
      </w:pPr>
      <w:r>
        <w:rPr>
          <w:rFonts w:ascii="Times New Roman"/>
          <w:b w:val="false"/>
          <w:i w:val="false"/>
          <w:color w:val="000000"/>
          <w:sz w:val="28"/>
        </w:rPr>
        <w:t>
      Official (s):</w:t>
      </w:r>
    </w:p>
    <w:bookmarkEnd w:id="6"/>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(last name, first name, patronymic (if any) position) (signature)</w:t>
      </w:r>
    </w:p>
    <w:p>
      <w:pPr>
        <w:spacing w:after="0"/>
        <w:ind w:left="0"/>
        <w:jc w:val="both"/>
      </w:pPr>
      <w:r>
        <w:rPr>
          <w:rFonts w:ascii="Times New Roman"/>
          <w:b w:val="false"/>
          <w:i w:val="false"/>
          <w:color w:val="000000"/>
          <w:sz w:val="28"/>
        </w:rPr>
        <w:t>
      Head of the control subject</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position signature________________________________________________________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