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b089" w14:textId="143b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criteria for assessing the degree of risk for the selection of entities for tax audit carried out in a special order based on an assessment of the degree of risk</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Finance of the Republic of Kazakhstan dated November 28, 2018 No. 1030 and Minister of National Economy of the Republic of Kazakhstan dated November 28, 2018 No. 86. Registered in the Ministry of Justice of the Republic of Kazakhstan on November 29, 2018 No. 17819. Abolished by the joint order of the Deputy Prime Minister - Minister of Finance of the Republic of Kazakhstan dated September 20, 2022 No. 972 and the Minister of National Economy of the Republic of Kazakhstan dated September 21, 2022 No. 66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Deputy Prime Minister - Minister of Finance of the Republic of Kazakhstan dated September 20, 2022 No. 972 and the Minister of National Economy of the Republic of Kazakhstan dated September 21, 2022 No. 66 (effective from 01.01.2023).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paragraph 2 of Article 141 of the Entrepreneurial Code of the Republic of Kazakhstan dated October 29, 2015 and Article 137 of the Code of the Republic of Kazakhstan dated December 25, 2017 "On Taxes and Other Obligatory Payments to the Budget" (Tax Code) we hereby ORDER:</w:t>
      </w:r>
    </w:p>
    <w:bookmarkStart w:name="z6" w:id="0"/>
    <w:p>
      <w:pPr>
        <w:spacing w:after="0"/>
        <w:ind w:left="0"/>
        <w:jc w:val="both"/>
      </w:pPr>
      <w:r>
        <w:rPr>
          <w:rFonts w:ascii="Times New Roman"/>
          <w:b w:val="false"/>
          <w:i w:val="false"/>
          <w:color w:val="000000"/>
          <w:sz w:val="28"/>
        </w:rPr>
        <w:t>
      1. To approve the attached criteria for assessing the degree of risk for the selection of entities for tax audit conducted in a special manner based on an assessment of the degree of risk.</w:t>
      </w:r>
    </w:p>
    <w:bookmarkEnd w:id="0"/>
    <w:bookmarkStart w:name="z7" w:id="1"/>
    <w:p>
      <w:pPr>
        <w:spacing w:after="0"/>
        <w:ind w:left="0"/>
        <w:jc w:val="both"/>
      </w:pPr>
      <w:r>
        <w:rPr>
          <w:rFonts w:ascii="Times New Roman"/>
          <w:b w:val="false"/>
          <w:i w:val="false"/>
          <w:color w:val="000000"/>
          <w:sz w:val="28"/>
        </w:rPr>
        <w:t>
      2. Joint order No. 251 of the Minister of Finance of the Republic of Kazakhstan of February 20, 2018 and No. 74 of the Acting Minister of National Economy of the Republic of Kazakhstan of February 24, 2018 "On Approval of the Risk Assessment Criteria for Selection of Inspected Entities During Randomized Tax Audit"(registered in the Register of State Registration of Regulatory Legal Acts under number 16547, published in the Reference Control Bank of Regulatory Legal Acts of the Republic of Kazakhstan on March 16, 2018) shall be declared to be no longer in force.</w:t>
      </w:r>
    </w:p>
    <w:bookmarkEnd w:id="1"/>
    <w:bookmarkStart w:name="z8" w:id="2"/>
    <w:p>
      <w:pPr>
        <w:spacing w:after="0"/>
        <w:ind w:left="0"/>
        <w:jc w:val="both"/>
      </w:pPr>
      <w:r>
        <w:rPr>
          <w:rFonts w:ascii="Times New Roman"/>
          <w:b w:val="false"/>
          <w:i w:val="false"/>
          <w:color w:val="000000"/>
          <w:sz w:val="28"/>
        </w:rPr>
        <w:t>
      3. In accordance with the procedure established by law, the State Revenue Committee of the Ministry of Finance of the Republic of Kazakhstan, shall:</w:t>
      </w:r>
    </w:p>
    <w:bookmarkEnd w:id="2"/>
    <w:bookmarkStart w:name="z9" w:id="3"/>
    <w:p>
      <w:pPr>
        <w:spacing w:after="0"/>
        <w:ind w:left="0"/>
        <w:jc w:val="both"/>
      </w:pPr>
      <w:r>
        <w:rPr>
          <w:rFonts w:ascii="Times New Roman"/>
          <w:b w:val="false"/>
          <w:i w:val="false"/>
          <w:color w:val="000000"/>
          <w:sz w:val="28"/>
        </w:rPr>
        <w:t>
      1) ensure the state registration of this joint order with the Ministry of Justice of the Republic of Kazakhstan;</w:t>
      </w:r>
    </w:p>
    <w:bookmarkEnd w:id="3"/>
    <w:bookmarkStart w:name="z10" w:id="4"/>
    <w:p>
      <w:pPr>
        <w:spacing w:after="0"/>
        <w:ind w:left="0"/>
        <w:jc w:val="both"/>
      </w:pPr>
      <w:r>
        <w:rPr>
          <w:rFonts w:ascii="Times New Roman"/>
          <w:b w:val="false"/>
          <w:i w:val="false"/>
          <w:color w:val="000000"/>
          <w:sz w:val="28"/>
        </w:rPr>
        <w:t>
      2) within ten calendar days from the date of state registration of this joint order, send its copy, both in the State and Russian languages, to the Republican State Enterprise on the Right of Economic Management “Republican Center of Legal Information” of the Ministry of Justice of the Republic of Kazakhstan for official publication and inclusion into the Reference Control Bank of regulatory legal Acts of the Republic of Kazakhstan;</w:t>
      </w:r>
    </w:p>
    <w:bookmarkEnd w:id="4"/>
    <w:bookmarkStart w:name="z11" w:id="5"/>
    <w:p>
      <w:pPr>
        <w:spacing w:after="0"/>
        <w:ind w:left="0"/>
        <w:jc w:val="both"/>
      </w:pPr>
      <w:r>
        <w:rPr>
          <w:rFonts w:ascii="Times New Roman"/>
          <w:b w:val="false"/>
          <w:i w:val="false"/>
          <w:color w:val="000000"/>
          <w:sz w:val="28"/>
        </w:rPr>
        <w:t>
      3) place this joint order on the Internet resource of the Ministry of Finance of the Republic of Kazakhstan;</w:t>
      </w:r>
    </w:p>
    <w:bookmarkEnd w:id="5"/>
    <w:bookmarkStart w:name="z12" w:id="6"/>
    <w:p>
      <w:pPr>
        <w:spacing w:after="0"/>
        <w:ind w:left="0"/>
        <w:jc w:val="both"/>
      </w:pPr>
      <w:r>
        <w:rPr>
          <w:rFonts w:ascii="Times New Roman"/>
          <w:b w:val="false"/>
          <w:i w:val="false"/>
          <w:color w:val="000000"/>
          <w:sz w:val="28"/>
        </w:rPr>
        <w:t>
      4) within ten working days after the state registration of this joint order with the Ministry of Justice of the Republic of Kazakhstan, submit the information on the implementation of measures provided for in subparagraphs 1), 2) and 3) of this paragraph to the Legal Department of the Ministry of Finance of the Republic of Kazakhstan.</w:t>
      </w:r>
    </w:p>
    <w:bookmarkEnd w:id="6"/>
    <w:bookmarkStart w:name="z13" w:id="7"/>
    <w:p>
      <w:pPr>
        <w:spacing w:after="0"/>
        <w:ind w:left="0"/>
        <w:jc w:val="both"/>
      </w:pPr>
      <w:r>
        <w:rPr>
          <w:rFonts w:ascii="Times New Roman"/>
          <w:b w:val="false"/>
          <w:i w:val="false"/>
          <w:color w:val="000000"/>
          <w:sz w:val="28"/>
        </w:rPr>
        <w:t>
      4. This joint order shall come into effect upon the expiry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Finance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Smailov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Minister of National Economy </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p>
      <w:pPr>
        <w:spacing w:after="0"/>
        <w:ind w:left="0"/>
        <w:jc w:val="both"/>
      </w:pPr>
      <w:bookmarkStart w:name="z16" w:id="8"/>
      <w:r>
        <w:rPr>
          <w:rFonts w:ascii="Times New Roman"/>
          <w:b w:val="false"/>
          <w:i w:val="false"/>
          <w:color w:val="000000"/>
          <w:sz w:val="28"/>
        </w:rPr>
        <w:t>
      "AGREED"</w:t>
      </w:r>
    </w:p>
    <w:bookmarkEnd w:id="8"/>
    <w:p>
      <w:pPr>
        <w:spacing w:after="0"/>
        <w:ind w:left="0"/>
        <w:jc w:val="both"/>
      </w:pPr>
      <w:r>
        <w:rPr>
          <w:rFonts w:ascii="Times New Roman"/>
          <w:b w:val="false"/>
          <w:i w:val="false"/>
          <w:color w:val="000000"/>
          <w:sz w:val="28"/>
        </w:rPr>
        <w:t>Committee for Legal </w:t>
      </w:r>
    </w:p>
    <w:p>
      <w:pPr>
        <w:spacing w:after="0"/>
        <w:ind w:left="0"/>
        <w:jc w:val="both"/>
      </w:pPr>
      <w:r>
        <w:rPr>
          <w:rFonts w:ascii="Times New Roman"/>
          <w:b w:val="false"/>
          <w:i w:val="false"/>
          <w:color w:val="000000"/>
          <w:sz w:val="28"/>
        </w:rPr>
        <w:t>Statistics and Special </w:t>
      </w:r>
    </w:p>
    <w:p>
      <w:pPr>
        <w:spacing w:after="0"/>
        <w:ind w:left="0"/>
        <w:jc w:val="both"/>
      </w:pPr>
      <w:r>
        <w:rPr>
          <w:rFonts w:ascii="Times New Roman"/>
          <w:b w:val="false"/>
          <w:i w:val="false"/>
          <w:color w:val="000000"/>
          <w:sz w:val="28"/>
        </w:rPr>
        <w:t>Accounts of the State</w:t>
      </w:r>
    </w:p>
    <w:p>
      <w:pPr>
        <w:spacing w:after="0"/>
        <w:ind w:left="0"/>
        <w:jc w:val="both"/>
      </w:pPr>
      <w:r>
        <w:rPr>
          <w:rFonts w:ascii="Times New Roman"/>
          <w:b w:val="false"/>
          <w:i w:val="false"/>
          <w:color w:val="000000"/>
          <w:sz w:val="28"/>
        </w:rPr>
        <w:t xml:space="preserve">Office of Public Prosecutor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w:t>
            </w:r>
            <w:r>
              <w:br/>
            </w:r>
            <w:r>
              <w:rPr>
                <w:rFonts w:ascii="Times New Roman"/>
                <w:b w:val="false"/>
                <w:i w:val="false"/>
                <w:color w:val="000000"/>
                <w:sz w:val="20"/>
              </w:rPr>
              <w:t>by joint order No. 1030</w:t>
            </w:r>
            <w:r>
              <w:br/>
            </w:r>
            <w:r>
              <w:rPr>
                <w:rFonts w:ascii="Times New Roman"/>
                <w:b w:val="false"/>
                <w:i w:val="false"/>
                <w:color w:val="000000"/>
                <w:sz w:val="20"/>
              </w:rPr>
              <w:t xml:space="preserve">of the Minister of Finance of the </w:t>
            </w:r>
            <w:r>
              <w:br/>
            </w:r>
            <w:r>
              <w:rPr>
                <w:rFonts w:ascii="Times New Roman"/>
                <w:b w:val="false"/>
                <w:i w:val="false"/>
                <w:color w:val="000000"/>
                <w:sz w:val="20"/>
              </w:rPr>
              <w:t>Republic of Kazakhstan </w:t>
            </w:r>
            <w:r>
              <w:br/>
            </w:r>
            <w:r>
              <w:rPr>
                <w:rFonts w:ascii="Times New Roman"/>
                <w:b w:val="false"/>
                <w:i w:val="false"/>
                <w:color w:val="000000"/>
                <w:sz w:val="20"/>
              </w:rPr>
              <w:t>of November 28, 2018 and</w:t>
            </w:r>
            <w:r>
              <w:br/>
            </w:r>
            <w:r>
              <w:rPr>
                <w:rFonts w:ascii="Times New Roman"/>
                <w:b w:val="false"/>
                <w:i w:val="false"/>
                <w:color w:val="000000"/>
                <w:sz w:val="20"/>
              </w:rPr>
              <w:t xml:space="preserve">No. 86 of acting Minister of </w:t>
            </w:r>
            <w:r>
              <w:br/>
            </w:r>
            <w:r>
              <w:rPr>
                <w:rFonts w:ascii="Times New Roman"/>
                <w:b w:val="false"/>
                <w:i w:val="false"/>
                <w:color w:val="000000"/>
                <w:sz w:val="20"/>
              </w:rPr>
              <w:t>National Economy </w:t>
            </w:r>
            <w:r>
              <w:br/>
            </w:r>
            <w:r>
              <w:rPr>
                <w:rFonts w:ascii="Times New Roman"/>
                <w:b w:val="false"/>
                <w:i w:val="false"/>
                <w:color w:val="000000"/>
                <w:sz w:val="20"/>
              </w:rPr>
              <w:t>Republic of Kazakhstan </w:t>
            </w:r>
            <w:r>
              <w:br/>
            </w:r>
            <w:r>
              <w:rPr>
                <w:rFonts w:ascii="Times New Roman"/>
                <w:b w:val="false"/>
                <w:i w:val="false"/>
                <w:color w:val="000000"/>
                <w:sz w:val="20"/>
              </w:rPr>
              <w:t>of November 28, 2018</w:t>
            </w:r>
          </w:p>
        </w:tc>
      </w:tr>
    </w:tbl>
    <w:bookmarkStart w:name="z18" w:id="9"/>
    <w:p>
      <w:pPr>
        <w:spacing w:after="0"/>
        <w:ind w:left="0"/>
        <w:jc w:val="left"/>
      </w:pPr>
      <w:r>
        <w:rPr>
          <w:rFonts w:ascii="Times New Roman"/>
          <w:b/>
          <w:i w:val="false"/>
          <w:color w:val="000000"/>
        </w:rPr>
        <w:t xml:space="preserve"> Criteria for assessing the degree of risk for the selection of entities for tax audit carried out in </w:t>
      </w:r>
      <w:r>
        <w:br/>
      </w:r>
      <w:r>
        <w:rPr>
          <w:rFonts w:ascii="Times New Roman"/>
          <w:b/>
          <w:i w:val="false"/>
          <w:color w:val="000000"/>
        </w:rPr>
        <w:t>a special order based on an assessment of the degree of risk</w:t>
      </w:r>
    </w:p>
    <w:bookmarkEnd w:id="9"/>
    <w:bookmarkStart w:name="z19" w:id="10"/>
    <w:p>
      <w:pPr>
        <w:spacing w:after="0"/>
        <w:ind w:left="0"/>
        <w:jc w:val="left"/>
      </w:pPr>
      <w:r>
        <w:rPr>
          <w:rFonts w:ascii="Times New Roman"/>
          <w:b/>
          <w:i w:val="false"/>
          <w:color w:val="000000"/>
        </w:rPr>
        <w:t xml:space="preserve"> Chapter 1. General Provisions</w:t>
      </w:r>
    </w:p>
    <w:bookmarkEnd w:id="10"/>
    <w:bookmarkStart w:name="z20" w:id="11"/>
    <w:p>
      <w:pPr>
        <w:spacing w:after="0"/>
        <w:ind w:left="0"/>
        <w:jc w:val="both"/>
      </w:pPr>
      <w:r>
        <w:rPr>
          <w:rFonts w:ascii="Times New Roman"/>
          <w:b w:val="false"/>
          <w:i w:val="false"/>
          <w:color w:val="000000"/>
          <w:sz w:val="28"/>
        </w:rPr>
        <w:t>
      1. These criteria for assessing the degree of risk for the selection of entities for tax audit conducted in a special manner based on an assessment of the degree of risk (hereinafter referred to as the Criteria), have been developed in accordance with paragraph 2 of Article 141 of the Entrepreneurial Code of the Republic of Kazakhstan dated October 29, 2015 and Article 137 Of the Code of the Republic of Kazakhstan dated December 25, 2017 "On Taxes and Other Obligatory Payments to the Budget" (Tax Code) to classify taxpayers by risk criteria in order to select taxpayers for the inspections concerning compliance with the tax legislation of the Republic of Kazakhstan and the Rules of Formation of Risk Assessment System by the State Bodies (with the exception of the National Bank of the Republic of Kazakhstan), approved by order No. 3 of the Acting Minister of National Economy of the Republic of Kazakhstan dated July 31, 2018 (registered in the Register of State Registration of Regulatory Legal Acts of the Republic of Kazakhstan under number 17371).</w:t>
      </w:r>
    </w:p>
    <w:bookmarkEnd w:id="11"/>
    <w:bookmarkStart w:name="z21" w:id="12"/>
    <w:p>
      <w:pPr>
        <w:spacing w:after="0"/>
        <w:ind w:left="0"/>
        <w:jc w:val="both"/>
      </w:pPr>
      <w:r>
        <w:rPr>
          <w:rFonts w:ascii="Times New Roman"/>
          <w:b w:val="false"/>
          <w:i w:val="false"/>
          <w:color w:val="000000"/>
          <w:sz w:val="28"/>
        </w:rPr>
        <w:t>
      2. Criteria for assessing the degree of risk for tax audits in these Criteria shall be formed by means of objective and subjective criteria.</w:t>
      </w:r>
    </w:p>
    <w:bookmarkEnd w:id="12"/>
    <w:bookmarkStart w:name="z22" w:id="13"/>
    <w:p>
      <w:pPr>
        <w:spacing w:after="0"/>
        <w:ind w:left="0"/>
        <w:jc w:val="left"/>
      </w:pPr>
      <w:r>
        <w:rPr>
          <w:rFonts w:ascii="Times New Roman"/>
          <w:b/>
          <w:i w:val="false"/>
          <w:color w:val="000000"/>
        </w:rPr>
        <w:t xml:space="preserve"> Chapter 2. Objective criteria</w:t>
      </w:r>
    </w:p>
    <w:bookmarkEnd w:id="13"/>
    <w:bookmarkStart w:name="z23" w:id="14"/>
    <w:p>
      <w:pPr>
        <w:spacing w:after="0"/>
        <w:ind w:left="0"/>
        <w:jc w:val="both"/>
      </w:pPr>
      <w:r>
        <w:rPr>
          <w:rFonts w:ascii="Times New Roman"/>
          <w:b w:val="false"/>
          <w:i w:val="false"/>
          <w:color w:val="000000"/>
          <w:sz w:val="28"/>
        </w:rPr>
        <w:t>
      3. In order to determine the objective criteria, a grouping and classification of entities for tax audit shall be carried out according to the degrees of risk (high and not classified as high).</w:t>
      </w:r>
    </w:p>
    <w:bookmarkEnd w:id="14"/>
    <w:bookmarkStart w:name="z24" w:id="15"/>
    <w:p>
      <w:pPr>
        <w:spacing w:after="0"/>
        <w:ind w:left="0"/>
        <w:jc w:val="both"/>
      </w:pPr>
      <w:r>
        <w:rPr>
          <w:rFonts w:ascii="Times New Roman"/>
          <w:b w:val="false"/>
          <w:i w:val="false"/>
          <w:color w:val="000000"/>
          <w:sz w:val="28"/>
        </w:rPr>
        <w:t>
      4. The following entities subject to tax audit shall be related to a high degree of risk:</w:t>
      </w:r>
    </w:p>
    <w:bookmarkEnd w:id="15"/>
    <w:bookmarkStart w:name="z25" w:id="16"/>
    <w:p>
      <w:pPr>
        <w:spacing w:after="0"/>
        <w:ind w:left="0"/>
        <w:jc w:val="both"/>
      </w:pPr>
      <w:r>
        <w:rPr>
          <w:rFonts w:ascii="Times New Roman"/>
          <w:b w:val="false"/>
          <w:i w:val="false"/>
          <w:color w:val="000000"/>
          <w:sz w:val="28"/>
        </w:rPr>
        <w:t>
      1) taxpayers registered as legal entities.</w:t>
      </w:r>
    </w:p>
    <w:bookmarkEnd w:id="16"/>
    <w:bookmarkStart w:name="z26" w:id="17"/>
    <w:p>
      <w:pPr>
        <w:spacing w:after="0"/>
        <w:ind w:left="0"/>
        <w:jc w:val="both"/>
      </w:pPr>
      <w:r>
        <w:rPr>
          <w:rFonts w:ascii="Times New Roman"/>
          <w:b w:val="false"/>
          <w:i w:val="false"/>
          <w:color w:val="000000"/>
          <w:sz w:val="28"/>
        </w:rPr>
        <w:t>
      For structural units, the risk assessment criterion shall be calculated by legal entity.</w:t>
      </w:r>
    </w:p>
    <w:bookmarkEnd w:id="17"/>
    <w:bookmarkStart w:name="z27" w:id="18"/>
    <w:p>
      <w:pPr>
        <w:spacing w:after="0"/>
        <w:ind w:left="0"/>
        <w:jc w:val="both"/>
      </w:pPr>
      <w:r>
        <w:rPr>
          <w:rFonts w:ascii="Times New Roman"/>
          <w:b w:val="false"/>
          <w:i w:val="false"/>
          <w:color w:val="000000"/>
          <w:sz w:val="28"/>
        </w:rPr>
        <w:t>
      2) taxpayers for whom the period not covered by a comprehensive audit for the fulfillment of a tax obligation shall be three years or more.</w:t>
      </w:r>
    </w:p>
    <w:bookmarkEnd w:id="18"/>
    <w:bookmarkStart w:name="z28" w:id="19"/>
    <w:p>
      <w:pPr>
        <w:spacing w:after="0"/>
        <w:ind w:left="0"/>
        <w:jc w:val="both"/>
      </w:pPr>
      <w:r>
        <w:rPr>
          <w:rFonts w:ascii="Times New Roman"/>
          <w:b w:val="false"/>
          <w:i w:val="false"/>
          <w:color w:val="000000"/>
          <w:sz w:val="28"/>
        </w:rPr>
        <w:t>
      For taxpayers who are monitored by other large taxpayers, the period shall be equal to four years or more.</w:t>
      </w:r>
    </w:p>
    <w:bookmarkEnd w:id="19"/>
    <w:bookmarkStart w:name="z29" w:id="20"/>
    <w:p>
      <w:pPr>
        <w:spacing w:after="0"/>
        <w:ind w:left="0"/>
        <w:jc w:val="both"/>
      </w:pPr>
      <w:r>
        <w:rPr>
          <w:rFonts w:ascii="Times New Roman"/>
          <w:b w:val="false"/>
          <w:i w:val="false"/>
          <w:color w:val="000000"/>
          <w:sz w:val="28"/>
        </w:rPr>
        <w:t>
      5. The subjective criteria shall be applied for taxpayers classified as high-risk according to objective criteria.</w:t>
      </w:r>
    </w:p>
    <w:bookmarkEnd w:id="20"/>
    <w:bookmarkStart w:name="z30" w:id="21"/>
    <w:p>
      <w:pPr>
        <w:spacing w:after="0"/>
        <w:ind w:left="0"/>
        <w:jc w:val="left"/>
      </w:pPr>
      <w:r>
        <w:rPr>
          <w:rFonts w:ascii="Times New Roman"/>
          <w:b/>
          <w:i w:val="false"/>
          <w:color w:val="000000"/>
        </w:rPr>
        <w:t xml:space="preserve"> Chapter 3. Subjective criteria</w:t>
      </w:r>
    </w:p>
    <w:bookmarkEnd w:id="21"/>
    <w:bookmarkStart w:name="z31" w:id="22"/>
    <w:p>
      <w:pPr>
        <w:spacing w:after="0"/>
        <w:ind w:left="0"/>
        <w:jc w:val="both"/>
      </w:pPr>
      <w:r>
        <w:rPr>
          <w:rFonts w:ascii="Times New Roman"/>
          <w:b w:val="false"/>
          <w:i w:val="false"/>
          <w:color w:val="000000"/>
          <w:sz w:val="28"/>
        </w:rPr>
        <w:t>
      6. Subjective criteria for assessing the degree of risk:</w:t>
      </w:r>
    </w:p>
    <w:bookmarkEnd w:id="22"/>
    <w:bookmarkStart w:name="z32" w:id="23"/>
    <w:p>
      <w:pPr>
        <w:spacing w:after="0"/>
        <w:ind w:left="0"/>
        <w:jc w:val="both"/>
      </w:pPr>
      <w:r>
        <w:rPr>
          <w:rFonts w:ascii="Times New Roman"/>
          <w:b w:val="false"/>
          <w:i w:val="false"/>
          <w:color w:val="000000"/>
          <w:sz w:val="28"/>
        </w:rPr>
        <w:t>
      1) the tax burden coefficient determined in accordance with order No. 253 of the Minister of Finance of the Republic of Kazakhstan dated February 20, 2018 "On Approval of the Rules for Calculating the Tax Burden Coefficient of a Taxpayer (Tax Agent), Except for Individuals Who Are Not Registered With the Tax Authorities as Individual Entrepreneurs and Not Engaged Into Private Practice"(registered in the Register of State Registration of Regulatory Legal Acts under the number 16518).</w:t>
      </w:r>
    </w:p>
    <w:bookmarkEnd w:id="23"/>
    <w:bookmarkStart w:name="z33" w:id="24"/>
    <w:p>
      <w:pPr>
        <w:spacing w:after="0"/>
        <w:ind w:left="0"/>
        <w:jc w:val="both"/>
      </w:pPr>
      <w:r>
        <w:rPr>
          <w:rFonts w:ascii="Times New Roman"/>
          <w:b w:val="false"/>
          <w:i w:val="false"/>
          <w:color w:val="000000"/>
          <w:sz w:val="28"/>
        </w:rPr>
        <w:t>
      The criterion has a positive effect when the tax burden ratio is below the industry average and a negative effect when the tax burden ratio is above the industry average.</w:t>
      </w:r>
    </w:p>
    <w:bookmarkEnd w:id="24"/>
    <w:bookmarkStart w:name="z34" w:id="25"/>
    <w:p>
      <w:pPr>
        <w:spacing w:after="0"/>
        <w:ind w:left="0"/>
        <w:jc w:val="both"/>
      </w:pPr>
      <w:r>
        <w:rPr>
          <w:rFonts w:ascii="Times New Roman"/>
          <w:b w:val="false"/>
          <w:i w:val="false"/>
          <w:color w:val="000000"/>
          <w:sz w:val="28"/>
        </w:rPr>
        <w:t>
      2) transactions with inactive taxpayers and with taxpayers, whose registration is recognized by the courts as invalid, as well as those transactions recognized by the courts as implemented without the actual execution of works, performance of services, shipment of goods;</w:t>
      </w:r>
    </w:p>
    <w:bookmarkEnd w:id="25"/>
    <w:bookmarkStart w:name="z35" w:id="26"/>
    <w:p>
      <w:pPr>
        <w:spacing w:after="0"/>
        <w:ind w:left="0"/>
        <w:jc w:val="both"/>
      </w:pPr>
      <w:r>
        <w:rPr>
          <w:rFonts w:ascii="Times New Roman"/>
          <w:b w:val="false"/>
          <w:i w:val="false"/>
          <w:color w:val="000000"/>
          <w:sz w:val="28"/>
        </w:rPr>
        <w:t>
      3) the ratio of the amount of deductions, taking into account adjustments to total annual income with adjustments, shall be in the range from 0.98 to 1 inclusive;</w:t>
      </w:r>
    </w:p>
    <w:bookmarkEnd w:id="26"/>
    <w:bookmarkStart w:name="z36" w:id="27"/>
    <w:p>
      <w:pPr>
        <w:spacing w:after="0"/>
        <w:ind w:left="0"/>
        <w:jc w:val="both"/>
      </w:pPr>
      <w:r>
        <w:rPr>
          <w:rFonts w:ascii="Times New Roman"/>
          <w:b w:val="false"/>
          <w:i w:val="false"/>
          <w:color w:val="000000"/>
          <w:sz w:val="28"/>
        </w:rPr>
        <w:t>
      4) submission of additional tax reports on corporate income tax with an increase in the amount of deductions and (or) value-added tax with an increase in the amount of value-added tax, taken as an offset upon the expiry of twelve months from the day established by tax legislation for the submission of tax reports for specified types of taxes, provided that the tax burden ratio of such a taxpayer is lower than the industry average value;</w:t>
      </w:r>
    </w:p>
    <w:bookmarkEnd w:id="27"/>
    <w:bookmarkStart w:name="z37" w:id="28"/>
    <w:p>
      <w:pPr>
        <w:spacing w:after="0"/>
        <w:ind w:left="0"/>
        <w:jc w:val="both"/>
      </w:pPr>
      <w:r>
        <w:rPr>
          <w:rFonts w:ascii="Times New Roman"/>
          <w:b w:val="false"/>
          <w:i w:val="false"/>
          <w:color w:val="000000"/>
          <w:sz w:val="28"/>
        </w:rPr>
        <w:t>
      5) submission of tax reports on corporate income tax with zero indicators, with the implementation of foreign economic activity and (or) participation in government procurement;</w:t>
      </w:r>
    </w:p>
    <w:bookmarkEnd w:id="28"/>
    <w:bookmarkStart w:name="z38" w:id="29"/>
    <w:p>
      <w:pPr>
        <w:spacing w:after="0"/>
        <w:ind w:left="0"/>
        <w:jc w:val="both"/>
      </w:pPr>
      <w:r>
        <w:rPr>
          <w:rFonts w:ascii="Times New Roman"/>
          <w:b w:val="false"/>
          <w:i w:val="false"/>
          <w:color w:val="000000"/>
          <w:sz w:val="28"/>
        </w:rPr>
        <w:t>
      6) the presence of unfulfilled notifications on the elimination of violations identified by the results of cameral control.</w:t>
      </w:r>
    </w:p>
    <w:bookmarkEnd w:id="29"/>
    <w:bookmarkStart w:name="z39" w:id="30"/>
    <w:p>
      <w:pPr>
        <w:spacing w:after="0"/>
        <w:ind w:left="0"/>
        <w:jc w:val="both"/>
      </w:pPr>
      <w:r>
        <w:rPr>
          <w:rFonts w:ascii="Times New Roman"/>
          <w:b w:val="false"/>
          <w:i w:val="false"/>
          <w:color w:val="000000"/>
          <w:sz w:val="28"/>
        </w:rPr>
        <w:t>
      On the basis of historical data on the entities subject to tax audit that are available in the information system used for the purpose of assessing the degree of risk, an equation shall be formed in which the criteria for the degree of risk are used as variables. For each taxpayer, the risk ratio shall be determined as follows:</w:t>
      </w:r>
    </w:p>
    <w:bookmarkEnd w:id="30"/>
    <w:bookmarkStart w:name="z40" w:id="31"/>
    <w:p>
      <w:pPr>
        <w:spacing w:after="0"/>
        <w:ind w:left="0"/>
        <w:jc w:val="both"/>
      </w:pPr>
      <w:r>
        <w:rPr>
          <w:rFonts w:ascii="Times New Roman"/>
          <w:b w:val="false"/>
          <w:i w:val="false"/>
          <w:color w:val="000000"/>
          <w:sz w:val="28"/>
        </w:rPr>
        <w:t>
      Z = K1 * X1 + K2 * X2 + ... + Kn * Xn + B,</w:t>
      </w:r>
    </w:p>
    <w:bookmarkEnd w:id="31"/>
    <w:bookmarkStart w:name="z41" w:id="32"/>
    <w:p>
      <w:pPr>
        <w:spacing w:after="0"/>
        <w:ind w:left="0"/>
        <w:jc w:val="both"/>
      </w:pPr>
      <w:r>
        <w:rPr>
          <w:rFonts w:ascii="Times New Roman"/>
          <w:b w:val="false"/>
          <w:i w:val="false"/>
          <w:color w:val="000000"/>
          <w:sz w:val="28"/>
        </w:rPr>
        <w:t>
      Where:</w:t>
      </w:r>
    </w:p>
    <w:bookmarkEnd w:id="32"/>
    <w:bookmarkStart w:name="z42" w:id="33"/>
    <w:p>
      <w:pPr>
        <w:spacing w:after="0"/>
        <w:ind w:left="0"/>
        <w:jc w:val="both"/>
      </w:pPr>
      <w:r>
        <w:rPr>
          <w:rFonts w:ascii="Times New Roman"/>
          <w:b w:val="false"/>
          <w:i w:val="false"/>
          <w:color w:val="000000"/>
          <w:sz w:val="28"/>
        </w:rPr>
        <w:t>
      Z – is the risk ratio;</w:t>
      </w:r>
    </w:p>
    <w:bookmarkEnd w:id="33"/>
    <w:bookmarkStart w:name="z43" w:id="34"/>
    <w:p>
      <w:pPr>
        <w:spacing w:after="0"/>
        <w:ind w:left="0"/>
        <w:jc w:val="both"/>
      </w:pPr>
      <w:r>
        <w:rPr>
          <w:rFonts w:ascii="Times New Roman"/>
          <w:b w:val="false"/>
          <w:i w:val="false"/>
          <w:color w:val="000000"/>
          <w:sz w:val="28"/>
        </w:rPr>
        <w:t>
      K1, ..., Kn – are the coefficients, representing the magnitude of the influence of the value of the criteria for Z;</w:t>
      </w:r>
    </w:p>
    <w:bookmarkEnd w:id="34"/>
    <w:bookmarkStart w:name="z44" w:id="35"/>
    <w:p>
      <w:pPr>
        <w:spacing w:after="0"/>
        <w:ind w:left="0"/>
        <w:jc w:val="both"/>
      </w:pPr>
      <w:r>
        <w:rPr>
          <w:rFonts w:ascii="Times New Roman"/>
          <w:b w:val="false"/>
          <w:i w:val="false"/>
          <w:color w:val="000000"/>
          <w:sz w:val="28"/>
        </w:rPr>
        <w:t>
      X1, ..., Xn – is the value by criterion;</w:t>
      </w:r>
    </w:p>
    <w:bookmarkEnd w:id="35"/>
    <w:bookmarkStart w:name="z45" w:id="36"/>
    <w:p>
      <w:pPr>
        <w:spacing w:after="0"/>
        <w:ind w:left="0"/>
        <w:jc w:val="both"/>
      </w:pPr>
      <w:r>
        <w:rPr>
          <w:rFonts w:ascii="Times New Roman"/>
          <w:b w:val="false"/>
          <w:i w:val="false"/>
          <w:color w:val="000000"/>
          <w:sz w:val="28"/>
        </w:rPr>
        <w:t>
      n is the number of criteria;</w:t>
      </w:r>
    </w:p>
    <w:bookmarkEnd w:id="36"/>
    <w:bookmarkStart w:name="z46" w:id="37"/>
    <w:p>
      <w:pPr>
        <w:spacing w:after="0"/>
        <w:ind w:left="0"/>
        <w:jc w:val="both"/>
      </w:pPr>
      <w:r>
        <w:rPr>
          <w:rFonts w:ascii="Times New Roman"/>
          <w:b w:val="false"/>
          <w:i w:val="false"/>
          <w:color w:val="000000"/>
          <w:sz w:val="28"/>
        </w:rPr>
        <w:t>
      B - is the value calculated automatically in the information system, which is unchanged for all taxpayers within the framework of a single risk assessment calculation.</w:t>
      </w:r>
    </w:p>
    <w:bookmarkEnd w:id="37"/>
    <w:bookmarkStart w:name="z47" w:id="38"/>
    <w:p>
      <w:pPr>
        <w:spacing w:after="0"/>
        <w:ind w:left="0"/>
        <w:jc w:val="both"/>
      </w:pPr>
      <w:r>
        <w:rPr>
          <w:rFonts w:ascii="Times New Roman"/>
          <w:b w:val="false"/>
          <w:i w:val="false"/>
          <w:color w:val="000000"/>
          <w:sz w:val="28"/>
        </w:rPr>
        <w:t>
      The probability of an occurrence of a target event shall be measured on a scale from 0 to 100 percent. To determine the probability of an occurrence of a target event, the following transformations shall be performed:</w:t>
      </w:r>
    </w:p>
    <w:bookmarkEnd w:id="38"/>
    <w:bookmarkStart w:name="z48" w:id="39"/>
    <w:p>
      <w:pPr>
        <w:spacing w:after="0"/>
        <w:ind w:left="0"/>
        <w:jc w:val="both"/>
      </w:pPr>
      <w:r>
        <w:rPr>
          <w:rFonts w:ascii="Times New Roman"/>
          <w:b w:val="false"/>
          <w:i w:val="false"/>
          <w:color w:val="000000"/>
          <w:sz w:val="28"/>
        </w:rPr>
        <w:t>
      P = 1 / (1 + e-z) * 100,</w:t>
      </w:r>
    </w:p>
    <w:bookmarkEnd w:id="39"/>
    <w:bookmarkStart w:name="z49" w:id="40"/>
    <w:p>
      <w:pPr>
        <w:spacing w:after="0"/>
        <w:ind w:left="0"/>
        <w:jc w:val="both"/>
      </w:pPr>
      <w:r>
        <w:rPr>
          <w:rFonts w:ascii="Times New Roman"/>
          <w:b w:val="false"/>
          <w:i w:val="false"/>
          <w:color w:val="000000"/>
          <w:sz w:val="28"/>
        </w:rPr>
        <w:t>
      Where:</w:t>
      </w:r>
    </w:p>
    <w:bookmarkEnd w:id="40"/>
    <w:bookmarkStart w:name="z50" w:id="41"/>
    <w:p>
      <w:pPr>
        <w:spacing w:after="0"/>
        <w:ind w:left="0"/>
        <w:jc w:val="both"/>
      </w:pPr>
      <w:r>
        <w:rPr>
          <w:rFonts w:ascii="Times New Roman"/>
          <w:b w:val="false"/>
          <w:i w:val="false"/>
          <w:color w:val="000000"/>
          <w:sz w:val="28"/>
        </w:rPr>
        <w:t>
      P is the probability;</w:t>
      </w:r>
    </w:p>
    <w:bookmarkEnd w:id="41"/>
    <w:bookmarkStart w:name="z51" w:id="42"/>
    <w:p>
      <w:pPr>
        <w:spacing w:after="0"/>
        <w:ind w:left="0"/>
        <w:jc w:val="both"/>
      </w:pPr>
      <w:r>
        <w:rPr>
          <w:rFonts w:ascii="Times New Roman"/>
          <w:b w:val="false"/>
          <w:i w:val="false"/>
          <w:color w:val="000000"/>
          <w:sz w:val="28"/>
        </w:rPr>
        <w:t>
      e - the exponent, the mathematical constant equal to the number 2,71828182846.</w:t>
      </w:r>
    </w:p>
    <w:bookmarkEnd w:id="42"/>
    <w:bookmarkStart w:name="z52" w:id="43"/>
    <w:p>
      <w:pPr>
        <w:spacing w:after="0"/>
        <w:ind w:left="0"/>
        <w:jc w:val="both"/>
      </w:pPr>
      <w:r>
        <w:rPr>
          <w:rFonts w:ascii="Times New Roman"/>
          <w:b w:val="false"/>
          <w:i w:val="false"/>
          <w:color w:val="000000"/>
          <w:sz w:val="28"/>
        </w:rPr>
        <w:t>
      7. The overall indicator of the degree of risk of the entity subject to tax audit shall be calculated by the criteria for assessing the degree of risk specified in paragraph 6 of these Criteria and the criteria for assessing the degree of risk related to confidential (official) information.</w:t>
      </w:r>
    </w:p>
    <w:bookmarkEnd w:id="43"/>
    <w:bookmarkStart w:name="z53" w:id="44"/>
    <w:p>
      <w:pPr>
        <w:spacing w:after="0"/>
        <w:ind w:left="0"/>
        <w:jc w:val="both"/>
      </w:pPr>
      <w:r>
        <w:rPr>
          <w:rFonts w:ascii="Times New Roman"/>
          <w:b w:val="false"/>
          <w:i w:val="false"/>
          <w:color w:val="000000"/>
          <w:sz w:val="28"/>
        </w:rPr>
        <w:t>
      8. In terms of risk, the entity subject to tax audit shall be classified as:</w:t>
      </w:r>
    </w:p>
    <w:bookmarkEnd w:id="44"/>
    <w:bookmarkStart w:name="z54" w:id="45"/>
    <w:p>
      <w:pPr>
        <w:spacing w:after="0"/>
        <w:ind w:left="0"/>
        <w:jc w:val="both"/>
      </w:pPr>
      <w:r>
        <w:rPr>
          <w:rFonts w:ascii="Times New Roman"/>
          <w:b w:val="false"/>
          <w:i w:val="false"/>
          <w:color w:val="000000"/>
          <w:sz w:val="28"/>
        </w:rPr>
        <w:t>
      1) having a high degree of risk - with a probability indicator of over 51 percent;</w:t>
      </w:r>
    </w:p>
    <w:bookmarkEnd w:id="45"/>
    <w:bookmarkStart w:name="z55" w:id="46"/>
    <w:p>
      <w:pPr>
        <w:spacing w:after="0"/>
        <w:ind w:left="0"/>
        <w:jc w:val="both"/>
      </w:pPr>
      <w:r>
        <w:rPr>
          <w:rFonts w:ascii="Times New Roman"/>
          <w:b w:val="false"/>
          <w:i w:val="false"/>
          <w:color w:val="000000"/>
          <w:sz w:val="28"/>
        </w:rPr>
        <w:t>
      2) not related to a high degree of risk - with a probability indicator of 51 percent and below.</w:t>
      </w:r>
    </w:p>
    <w:bookmarkEnd w:id="46"/>
    <w:bookmarkStart w:name="z56" w:id="47"/>
    <w:p>
      <w:pPr>
        <w:spacing w:after="0"/>
        <w:ind w:left="0"/>
        <w:jc w:val="both"/>
      </w:pPr>
      <w:r>
        <w:rPr>
          <w:rFonts w:ascii="Times New Roman"/>
          <w:b w:val="false"/>
          <w:i w:val="false"/>
          <w:color w:val="000000"/>
          <w:sz w:val="28"/>
        </w:rPr>
        <w:t>
      Tax audits shall be assigned to taxpayers classified as high-risk by risk criteria, based on the priority of the entity subject to tax audit with the highest probability index.</w:t>
      </w:r>
    </w:p>
    <w:bookmarkEnd w:id="47"/>
    <w:bookmarkStart w:name="z57" w:id="48"/>
    <w:p>
      <w:pPr>
        <w:spacing w:after="0"/>
        <w:ind w:left="0"/>
        <w:jc w:val="both"/>
      </w:pPr>
      <w:r>
        <w:rPr>
          <w:rFonts w:ascii="Times New Roman"/>
          <w:b w:val="false"/>
          <w:i w:val="false"/>
          <w:color w:val="000000"/>
          <w:sz w:val="28"/>
        </w:rPr>
        <w:t>
      9. Semi-annual schedules of inspections in a special order shall be formed in the manner defined by paragraph 2 of Article 141 of the Entrepreneurial Code.</w:t>
      </w:r>
    </w:p>
    <w:bookmarkEnd w:id="48"/>
    <w:bookmarkStart w:name="z58" w:id="49"/>
    <w:p>
      <w:pPr>
        <w:spacing w:after="0"/>
        <w:ind w:left="0"/>
        <w:jc w:val="both"/>
      </w:pPr>
      <w:r>
        <w:rPr>
          <w:rFonts w:ascii="Times New Roman"/>
          <w:b w:val="false"/>
          <w:i w:val="false"/>
          <w:color w:val="000000"/>
          <w:sz w:val="28"/>
        </w:rPr>
        <w:t xml:space="preserve">
      10. The list of requirements applicable to the activities of entities subject to tax audit, failure to comply with which entails a threat to the legitimate interests of individuals and legal entities, as well as the state shall be contained in the tax audit checklists approved by Joint Order No. 254 of the Minister of Finance of the Republic of Kazakhstan dated April 18, 2017 and No. 200 of the Minister of National Economy of the Republic of Kazakhstan of May 15, 2017 (registered in the Register of State Registration of Regulatory Legal Acts of the Republic of Kazakhstan under No. 15224). </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