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2f5b" w14:textId="08e2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prices for goods (works, services) provided by the Academy of Law Enforcement Agencies under the General Prosecutor’s Office of the Republic of Kazakhstan on a paid basis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General Prosecutor of the Republic of Kazakhstan dated December 12, 2018 No. 136. Registered with the Ministry of Justice of the Republic of Kazakhstan on December 13, 2018 No. 17930.</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item 4 of article 63 of the Law of the Republic of Kazakhstan dated July 27, 2007 "On Education" </w:t>
      </w:r>
      <w:r>
        <w:rPr>
          <w:rFonts w:ascii="Times New Roman"/>
          <w:b/>
          <w:i w:val="false"/>
          <w:color w:val="000000"/>
          <w:sz w:val="28"/>
        </w:rPr>
        <w:t>I HEREBY ORDER:</w:t>
      </w:r>
    </w:p>
    <w:p>
      <w:pPr>
        <w:spacing w:after="0"/>
        <w:ind w:left="0"/>
        <w:jc w:val="both"/>
      </w:pPr>
      <w:r>
        <w:rPr>
          <w:rFonts w:ascii="Times New Roman"/>
          <w:b w:val="false"/>
          <w:i w:val="false"/>
          <w:color w:val="000000"/>
          <w:sz w:val="28"/>
        </w:rPr>
        <w:t>
       1. To approve the attached prices for goods (works, services) provided by the Academy of Law Enforcement Agencies under the General Prosecutor’s Office of the Republic of Kazakhstan on a paid basis.</w:t>
      </w:r>
    </w:p>
    <w:p>
      <w:pPr>
        <w:spacing w:after="0"/>
        <w:ind w:left="0"/>
        <w:jc w:val="both"/>
      </w:pPr>
      <w:r>
        <w:rPr>
          <w:rFonts w:ascii="Times New Roman"/>
          <w:b w:val="false"/>
          <w:i w:val="false"/>
          <w:color w:val="000000"/>
          <w:sz w:val="28"/>
        </w:rPr>
        <w:t>
       2. The Academy of Law Enforcement Agencies under the General Prosecutor’s Office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the direction hereof in Kazakh and Russian languages to the Republican State Enterprise on the Right of Economic Management "Republican Center of Legal Information of the Ministry of Justice of the Republic of Kazakhstan" for official publication and placement into the Reference Control Bank of the Regulatory Legal Acts of the Republic of Kazakhstan;</w:t>
      </w:r>
    </w:p>
    <w:p>
      <w:pPr>
        <w:spacing w:after="0"/>
        <w:ind w:left="0"/>
        <w:jc w:val="both"/>
      </w:pPr>
      <w:r>
        <w:rPr>
          <w:rFonts w:ascii="Times New Roman"/>
          <w:b w:val="false"/>
          <w:i w:val="false"/>
          <w:color w:val="000000"/>
          <w:sz w:val="28"/>
        </w:rPr>
        <w:t>
       3) placing this order on the Internet resource of the General Prosecutor’s Office of the Republic of Kazakhstan;</w:t>
      </w:r>
    </w:p>
    <w:p>
      <w:pPr>
        <w:spacing w:after="0"/>
        <w:ind w:left="0"/>
        <w:jc w:val="both"/>
      </w:pPr>
      <w:r>
        <w:rPr>
          <w:rFonts w:ascii="Times New Roman"/>
          <w:b w:val="false"/>
          <w:i w:val="false"/>
          <w:color w:val="000000"/>
          <w:sz w:val="28"/>
        </w:rPr>
        <w:t>
       3. Control over the execution of this order shall be entrusted to the supervising Deputy General Prosecutor of the Republic of Kazakhstan.</w:t>
      </w:r>
    </w:p>
    <w:p>
      <w:pPr>
        <w:spacing w:after="0"/>
        <w:ind w:left="0"/>
        <w:jc w:val="both"/>
      </w:pPr>
      <w:r>
        <w:rPr>
          <w:rFonts w:ascii="Times New Roman"/>
          <w:b w:val="false"/>
          <w:i w:val="false"/>
          <w:color w:val="000000"/>
          <w:sz w:val="28"/>
        </w:rPr>
        <w:t>
       4. This order shall be put into effect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68"/>
        <w:gridCol w:w="4232"/>
      </w:tblGrid>
      <w:tr>
        <w:trPr>
          <w:trHeight w:val="30" w:hRule="atLeast"/>
        </w:trPr>
        <w:tc>
          <w:tcPr>
            <w:tcW w:w="776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General Prosecutor</w:t>
            </w:r>
            <w:r>
              <w:rPr>
                <w:rFonts w:ascii="Times New Roman"/>
                <w:b w:val="false"/>
                <w:i w:val="false"/>
                <w:color w:val="000000"/>
                <w:sz w:val="20"/>
              </w:rPr>
              <w:t>
</w:t>
            </w:r>
          </w:p>
        </w:tc>
      </w:tr>
      <w:tr>
        <w:trPr>
          <w:trHeight w:val="30" w:hRule="atLeast"/>
        </w:trPr>
        <w:tc>
          <w:tcPr>
            <w:tcW w:w="776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3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Kozhamzharov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 No.136 of the</w:t>
            </w:r>
            <w:r>
              <w:br/>
            </w:r>
            <w:r>
              <w:rPr>
                <w:rFonts w:ascii="Times New Roman"/>
                <w:b w:val="false"/>
                <w:i w:val="false"/>
                <w:color w:val="000000"/>
                <w:sz w:val="20"/>
              </w:rPr>
              <w:t>General Prosecutor of the</w:t>
            </w:r>
            <w:r>
              <w:br/>
            </w:r>
            <w:r>
              <w:rPr>
                <w:rFonts w:ascii="Times New Roman"/>
                <w:b w:val="false"/>
                <w:i w:val="false"/>
                <w:color w:val="000000"/>
                <w:sz w:val="20"/>
              </w:rPr>
              <w:t>Republic of Kazakhstan</w:t>
            </w:r>
            <w:r>
              <w:br/>
            </w:r>
            <w:r>
              <w:rPr>
                <w:rFonts w:ascii="Times New Roman"/>
                <w:b w:val="false"/>
                <w:i w:val="false"/>
                <w:color w:val="000000"/>
                <w:sz w:val="20"/>
              </w:rPr>
              <w:t>dated December 12,2018</w:t>
            </w:r>
          </w:p>
        </w:tc>
      </w:tr>
    </w:tbl>
    <w:p>
      <w:pPr>
        <w:spacing w:after="0"/>
        <w:ind w:left="0"/>
        <w:jc w:val="left"/>
      </w:pPr>
      <w:r>
        <w:rPr>
          <w:rFonts w:ascii="Times New Roman"/>
          <w:b/>
          <w:i w:val="false"/>
          <w:color w:val="000000"/>
        </w:rPr>
        <w:t xml:space="preserve"> Prices for goods (works, services) provided by the Academy of Law Enforcement</w:t>
      </w:r>
      <w:r>
        <w:br/>
      </w:r>
      <w:r>
        <w:rPr>
          <w:rFonts w:ascii="Times New Roman"/>
          <w:b/>
          <w:i w:val="false"/>
          <w:color w:val="000000"/>
        </w:rPr>
        <w:t>Agencies under the General Prosecutor’s Office of the Republic of Kazakhstan on a paid basis</w:t>
      </w:r>
      <w:r>
        <w:br/>
      </w:r>
      <w:r>
        <w:rPr>
          <w:rFonts w:ascii="Times New Roman"/>
          <w:b/>
          <w:i w:val="false"/>
          <w:color w:val="000000"/>
        </w:rPr>
        <w:t>Chapter 1. Implementation of additional educational programs</w:t>
      </w:r>
      <w:r>
        <w:br/>
      </w:r>
      <w:r>
        <w:rPr>
          <w:rFonts w:ascii="Times New Roman"/>
          <w:b/>
          <w:i w:val="false"/>
          <w:color w:val="000000"/>
        </w:rPr>
        <w:t xml:space="preserve">(advanced training of specialists)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8923"/>
        <w:gridCol w:w="1249"/>
        <w:gridCol w:w="1627"/>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for a measuring unit (KZT)</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 courses (English)</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Kazakh language courses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Advanced training on countering global threats, improving managerial and communication skills, psychology and other issues of legal science and practice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p>
      <w:pPr>
        <w:spacing w:after="0"/>
        <w:ind w:left="0"/>
        <w:jc w:val="left"/>
      </w:pPr>
      <w:r>
        <w:rPr>
          <w:rFonts w:ascii="Times New Roman"/>
          <w:b/>
          <w:i w:val="false"/>
          <w:color w:val="000000"/>
        </w:rPr>
        <w:t xml:space="preserve"> Chapter 2. Conducting scientific researches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6656"/>
        <w:gridCol w:w="1249"/>
        <w:gridCol w:w="3894"/>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(KZT)</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Scientific research and (or) experimental development works under grant financing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accordance with the decision of NSC*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Scientific research and (or) experimental development works under program-targeted financing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accordance with the decision of the NSC and HSTC**</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Researches in legal area</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accordance with the decision of the SMC***</w:t>
            </w:r>
          </w:p>
        </w:tc>
      </w:tr>
    </w:tbl>
    <w:p>
      <w:pPr>
        <w:spacing w:after="0"/>
        <w:ind w:left="0"/>
        <w:jc w:val="left"/>
      </w:pPr>
      <w:r>
        <w:rPr>
          <w:rFonts w:ascii="Times New Roman"/>
          <w:b/>
          <w:i w:val="false"/>
          <w:color w:val="000000"/>
        </w:rPr>
        <w:t xml:space="preserve"> Chapter 3. Development and realization of educational and methodical literature</w:t>
      </w:r>
      <w:r>
        <w:br/>
      </w:r>
      <w:r>
        <w:rPr>
          <w:rFonts w:ascii="Times New Roman"/>
          <w:b/>
          <w:i w:val="false"/>
          <w:color w:val="000000"/>
        </w:rPr>
        <w:t>(book, teaching guide, journal)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6496"/>
        <w:gridCol w:w="1561"/>
        <w:gridCol w:w="3290"/>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for a measuring unit (KZT)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А4 format, up to 100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А4 format, from 101 to 120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А4 format, from 121 to 140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А4 format, from 141 to 160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А4 format, from 161 to 180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А4 format, from 181 to 200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А4 format, from 201 to 220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А4 format, from 221 to 240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А4 format, from 241 to 260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А4 format, from 261 to 280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А4 format, from 281 to 300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А4 format, from 301 to 320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А4 format, from 321 to 340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А4 format, from 341 to 360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А4 format, from 361 to 380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А4 format, from 381 to 400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А4 format, from 401 to 420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А4 format, from 421 to 440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А4 format, from 441 to 460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А4 format, from 461 to 480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А4 format, from 481 to 500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А5 format, up to 100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А5 format, from 101 to 120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А5 format, from 121 to 140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А5 format, from 141 to 160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А5 format, from 161 to 180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А5 format, from 181 to 200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А5 format, from 201 to 220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А5 format, from 221 to 240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А5 format, from 241 to 260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А5 format, from 261 to 280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А5 format, from 281 to 300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А5 format, from 301 to 320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А5 format, from 321 to 340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А5 format, from 341 to 360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А5 format, from 361 to 380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А5 format, from 381 to 400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А5 format, from 401 to 420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А5 format, from 421 to 440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А5 format, from 441 to 460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А5 format, from 461 to 480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 cover book of А5 format, from 481 to 500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journal А4 format, to 60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journal А4 format, from 61 up to 100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journal А5 format, to 50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journal А5 format, from 51 to 70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journal А5 format, from 71 up to 100 pages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soft cover teaching guide of 5A format, up to 50 pages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soft cover teaching guide of 5A format, from 51 to 70 pages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soft cover teaching guide of 5A format, from 71 up to 100 pages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1. NSC* – the National Scientific Council, in accordance with item 5 of Article 19 of the Law of the Republic of Kazakhstan dated February 18,2011 "On Science", the NSС renders decisions on grant and program-targeted financing. </w:t>
      </w:r>
    </w:p>
    <w:p>
      <w:pPr>
        <w:spacing w:after="0"/>
        <w:ind w:left="0"/>
        <w:jc w:val="both"/>
      </w:pPr>
      <w:r>
        <w:rPr>
          <w:rFonts w:ascii="Times New Roman"/>
          <w:b w:val="false"/>
          <w:i w:val="false"/>
          <w:color w:val="000000"/>
          <w:sz w:val="28"/>
        </w:rPr>
        <w:t xml:space="preserve">
       2. HSTC** – Higher Scientific and Technical Commission under the Government of the Republic of Kazakhstan, in accordance with item 4 of Article 18 and item 1 of Article 27 of the Law of the Republic of Kazakhstan dated February 18,2011 "On Science", the HSTC makes decisions on program-targeted financing (including beyond tendering procedures). </w:t>
      </w:r>
    </w:p>
    <w:p>
      <w:pPr>
        <w:spacing w:after="0"/>
        <w:ind w:left="0"/>
        <w:jc w:val="both"/>
      </w:pPr>
      <w:r>
        <w:rPr>
          <w:rFonts w:ascii="Times New Roman"/>
          <w:b w:val="false"/>
          <w:i w:val="false"/>
          <w:color w:val="000000"/>
          <w:sz w:val="28"/>
        </w:rPr>
        <w:t xml:space="preserve">
       3. SMC*** – Scientific and Methodological Council, a collegial consultative and advising body of the Academy of Law Enforcement Agencies under the General Prosecutor’s Office of the Republic of Kazakhstan. The SMC, in accordance with Order No.164 of the General Prosecutor of the Republic of Kazakhstan dated December 28, 2015 approves priority themes of scientific projects. </w:t>
      </w:r>
    </w:p>
    <w:p>
      <w:pPr>
        <w:spacing w:after="0"/>
        <w:ind w:left="0"/>
        <w:jc w:val="both"/>
      </w:pPr>
      <w:r>
        <w:rPr>
          <w:rFonts w:ascii="Times New Roman"/>
          <w:b w:val="false"/>
          <w:i w:val="false"/>
          <w:color w:val="000000"/>
          <w:sz w:val="28"/>
        </w:rPr>
        <w:t>
       4. Goods (works, services), specified in Chapter 3, shall be made and produced on standards sheets with the density of 80 g/m².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