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db3f" w14:textId="a03d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risk assessment criteria and checklists in the field of informatization in terms of ensuring information security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Deputy Prime Minister of the Republic of Kazakhstan - Minister of Defense and Aerospace Industry of the Republic of Kazakhstan dated January 29, 2019 No. 13 / НҚ and Minister of National Economy of the Republic of Kazakhstan dated January 29, 2019 No. 12. Registered in the Ministry of Justice of the Republic of Kazakhstan on February 6, 2019 No. 18269.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3 of Article 141 and paragraph 1 of Article 143 of the Entrepreneurial Code of the Republic of Kazakhstan dated October 29, 2015, </w:t>
      </w:r>
      <w:r>
        <w:rPr>
          <w:rFonts w:ascii="Times New Roman"/>
          <w:b/>
          <w:i w:val="false"/>
          <w:color w:val="000000"/>
          <w:sz w:val="28"/>
        </w:rPr>
        <w:t>WE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joint order of the Minister of Digital Development, Innovation and Aerospace Industry of the Republic of Kazakhstan dated 20.01.2023 № 21/NҚ and the Minister of National Economy of the Republic of Kazakhstan dated 23.01.2023 № 8 (shall enter into force dated 01.01.2023).</w:t>
      </w:r>
      <w:r>
        <w:br/>
      </w:r>
      <w:r>
        <w:rPr>
          <w:rFonts w:ascii="Times New Roman"/>
          <w:b w:val="false"/>
          <w:i w:val="false"/>
          <w:color w:val="000000"/>
          <w:sz w:val="28"/>
        </w:rPr>
        <w:t>
</w:t>
      </w:r>
      <w:r>
        <w:rPr>
          <w:rFonts w:ascii="Times New Roman"/>
          <w:b w:val="false"/>
          <w:i w:val="false"/>
          <w:color w:val="ff0000"/>
          <w:sz w:val="28"/>
        </w:rPr>
        <w:t>      2) Excluded by joint order of the Minister of Digital Development, Innovation and Aerospace Industry of the Republic of Kazakhstan dated 20.01.2023 № 21/NҚ and the Minister of National Economy of the Republic of Kazakhstan dated 23.01.2023 № 8 (shall enter into force dated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checklist in the field of informatization in terms of ensuring information security in relation to state legal entities, entities of the quasi-public sector, possessors and owners of non-state information systems that are integrated with information systems of state bodies or intended to form state electronic information resources, as well as possessors and owners of critically important objects of information and communication infrastructure in accordance with Appendix 3 to this joint order.</w:t>
      </w:r>
    </w:p>
    <w:p>
      <w:pPr>
        <w:spacing w:after="0"/>
        <w:ind w:left="0"/>
        <w:jc w:val="both"/>
      </w:pPr>
      <w:r>
        <w:rPr>
          <w:rFonts w:ascii="Times New Roman"/>
          <w:b w:val="false"/>
          <w:i w:val="false"/>
          <w:color w:val="000000"/>
          <w:sz w:val="28"/>
        </w:rPr>
        <w:t>
      2. The Committee on Information Security of the Ministry of Defense and Aerospace Industry of the Republic of Kazakhstan, in the manner prescribed by the legislation of the Republic of Kazakhstan, to ensure:</w:t>
      </w:r>
    </w:p>
    <w:p>
      <w:pPr>
        <w:spacing w:after="0"/>
        <w:ind w:left="0"/>
        <w:jc w:val="both"/>
      </w:pPr>
      <w:r>
        <w:rPr>
          <w:rFonts w:ascii="Times New Roman"/>
          <w:b w:val="false"/>
          <w:i w:val="false"/>
          <w:color w:val="000000"/>
          <w:sz w:val="28"/>
        </w:rPr>
        <w:t xml:space="preserve">
      1) state registration of this joint order in the Ministry of Justice of the Republic of Kazakhstan; </w:t>
      </w:r>
    </w:p>
    <w:p>
      <w:pPr>
        <w:spacing w:after="0"/>
        <w:ind w:left="0"/>
        <w:jc w:val="both"/>
      </w:pPr>
      <w:r>
        <w:rPr>
          <w:rFonts w:ascii="Times New Roman"/>
          <w:b w:val="false"/>
          <w:i w:val="false"/>
          <w:color w:val="000000"/>
          <w:sz w:val="28"/>
        </w:rPr>
        <w:t>
      2) within ten calendar days from the date of registration of this joint order,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xml:space="preserve">
      3) placement of a copy of this joint order on the Internet resource of the Ministry of Defense and Aerospace Industry of the Republic of Kazakhstan. </w:t>
      </w:r>
    </w:p>
    <w:p>
      <w:pPr>
        <w:spacing w:after="0"/>
        <w:ind w:left="0"/>
        <w:jc w:val="both"/>
      </w:pPr>
      <w:r>
        <w:rPr>
          <w:rFonts w:ascii="Times New Roman"/>
          <w:b w:val="false"/>
          <w:i w:val="false"/>
          <w:color w:val="000000"/>
          <w:sz w:val="28"/>
        </w:rPr>
        <w:t xml:space="preserve">
      3. The supervising vice minister of the defense and aerospace industry of the Republic of Kazakhstan shall be authorized to oversee the execution of this joint order. </w:t>
      </w:r>
    </w:p>
    <w:p>
      <w:pPr>
        <w:spacing w:after="0"/>
        <w:ind w:left="0"/>
        <w:jc w:val="both"/>
      </w:pPr>
      <w:r>
        <w:rPr>
          <w:rFonts w:ascii="Times New Roman"/>
          <w:b w:val="false"/>
          <w:i w:val="false"/>
          <w:color w:val="000000"/>
          <w:sz w:val="28"/>
        </w:rPr>
        <w:t xml:space="preserve">
      4. This joint order shall come into force upon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 Minister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defense and aerospace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industry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____________ A. Zhumagaliyev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national economy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T. Suleimenov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Committee for legal statistics and</w:t>
      </w:r>
    </w:p>
    <w:p>
      <w:pPr>
        <w:spacing w:after="0"/>
        <w:ind w:left="0"/>
        <w:jc w:val="both"/>
      </w:pPr>
      <w:r>
        <w:rPr>
          <w:rFonts w:ascii="Times New Roman"/>
          <w:b w:val="false"/>
          <w:i w:val="false"/>
          <w:color w:val="000000"/>
          <w:sz w:val="28"/>
        </w:rPr>
        <w:t xml:space="preserve">
      special accounting of the </w:t>
      </w:r>
    </w:p>
    <w:p>
      <w:pPr>
        <w:spacing w:after="0"/>
        <w:ind w:left="0"/>
        <w:jc w:val="both"/>
      </w:pPr>
      <w:r>
        <w:rPr>
          <w:rFonts w:ascii="Times New Roman"/>
          <w:b w:val="false"/>
          <w:i w:val="false"/>
          <w:color w:val="000000"/>
          <w:sz w:val="28"/>
        </w:rPr>
        <w:t>
      General Prosecutor’s Office of the</w:t>
      </w:r>
    </w:p>
    <w:p>
      <w:pPr>
        <w:spacing w:after="0"/>
        <w:ind w:left="0"/>
        <w:jc w:val="both"/>
      </w:pPr>
      <w:r>
        <w:rPr>
          <w:rFonts w:ascii="Times New Roman"/>
          <w:b w:val="false"/>
          <w:i w:val="false"/>
          <w:color w:val="000000"/>
          <w:sz w:val="28"/>
        </w:rPr>
        <w:t xml:space="preserv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joint order of the Deputy</w:t>
            </w:r>
            <w:r>
              <w:br/>
            </w:r>
            <w:r>
              <w:rPr>
                <w:rFonts w:ascii="Times New Roman"/>
                <w:b w:val="false"/>
                <w:i w:val="false"/>
                <w:color w:val="000000"/>
                <w:sz w:val="20"/>
              </w:rPr>
              <w:t>Prime Minister of the Republic of</w:t>
            </w:r>
            <w:r>
              <w:br/>
            </w:r>
            <w:r>
              <w:rPr>
                <w:rFonts w:ascii="Times New Roman"/>
                <w:b w:val="false"/>
                <w:i w:val="false"/>
                <w:color w:val="000000"/>
                <w:sz w:val="20"/>
              </w:rPr>
              <w:t>Kazakhstan – Minister of defense</w:t>
            </w:r>
            <w:r>
              <w:br/>
            </w:r>
            <w:r>
              <w:rPr>
                <w:rFonts w:ascii="Times New Roman"/>
                <w:b w:val="false"/>
                <w:i w:val="false"/>
                <w:color w:val="000000"/>
                <w:sz w:val="20"/>
              </w:rPr>
              <w:t>and aerospace industry of the</w:t>
            </w:r>
            <w:r>
              <w:br/>
            </w:r>
            <w:r>
              <w:rPr>
                <w:rFonts w:ascii="Times New Roman"/>
                <w:b w:val="false"/>
                <w:i w:val="false"/>
                <w:color w:val="000000"/>
                <w:sz w:val="20"/>
              </w:rPr>
              <w:t>Republic of Kazakhstan dated</w:t>
            </w:r>
            <w:r>
              <w:br/>
            </w:r>
            <w:r>
              <w:rPr>
                <w:rFonts w:ascii="Times New Roman"/>
                <w:b w:val="false"/>
                <w:i w:val="false"/>
                <w:color w:val="000000"/>
                <w:sz w:val="20"/>
              </w:rPr>
              <w:t>January 29, 2019 № 13/НҚ</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January 29, 2019</w:t>
            </w:r>
            <w:r>
              <w:br/>
            </w:r>
            <w:r>
              <w:rPr>
                <w:rFonts w:ascii="Times New Roman"/>
                <w:b w:val="false"/>
                <w:i w:val="false"/>
                <w:color w:val="000000"/>
                <w:sz w:val="20"/>
              </w:rPr>
              <w:t xml:space="preserve">№ 12 </w:t>
            </w:r>
          </w:p>
        </w:tc>
      </w:tr>
    </w:tbl>
    <w:p>
      <w:pPr>
        <w:spacing w:after="0"/>
        <w:ind w:left="0"/>
        <w:jc w:val="left"/>
      </w:pPr>
      <w:r>
        <w:rPr>
          <w:rFonts w:ascii="Times New Roman"/>
          <w:b/>
          <w:i w:val="false"/>
          <w:color w:val="000000"/>
        </w:rPr>
        <w:t xml:space="preserve"> Risk assessment criteria in the field of informatization in terms</w:t>
      </w:r>
      <w:r>
        <w:br/>
      </w:r>
      <w:r>
        <w:rPr>
          <w:rFonts w:ascii="Times New Roman"/>
          <w:b/>
          <w:i w:val="false"/>
          <w:color w:val="000000"/>
        </w:rPr>
        <w:t>of ensuring information security</w:t>
      </w:r>
    </w:p>
    <w:p>
      <w:pPr>
        <w:spacing w:after="0"/>
        <w:ind w:left="0"/>
        <w:jc w:val="both"/>
      </w:pPr>
      <w:r>
        <w:rPr>
          <w:rFonts w:ascii="Times New Roman"/>
          <w:b w:val="false"/>
          <w:i w:val="false"/>
          <w:color w:val="ff0000"/>
          <w:sz w:val="28"/>
        </w:rPr>
        <w:t>
      Footnote. Annex 1 recognized as invalid by joint order of the Minister of Digital Development, Innovation and Aerospace Industry of the Republic of Kazakhstan dated 20.01.2023 № 21/NҚ and the Minister of National Economy of the Republic of Kazakhstan dated 23.01.2023 № 8 (shall enter into force dated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joint order of the Deputy</w:t>
            </w:r>
            <w:r>
              <w:br/>
            </w:r>
            <w:r>
              <w:rPr>
                <w:rFonts w:ascii="Times New Roman"/>
                <w:b w:val="false"/>
                <w:i w:val="false"/>
                <w:color w:val="000000"/>
                <w:sz w:val="20"/>
              </w:rPr>
              <w:t>Prime Minister of the Republic of</w:t>
            </w:r>
            <w:r>
              <w:br/>
            </w:r>
            <w:r>
              <w:rPr>
                <w:rFonts w:ascii="Times New Roman"/>
                <w:b w:val="false"/>
                <w:i w:val="false"/>
                <w:color w:val="000000"/>
                <w:sz w:val="20"/>
              </w:rPr>
              <w:t>Kazakhstan – Minister of defense</w:t>
            </w:r>
            <w:r>
              <w:br/>
            </w:r>
            <w:r>
              <w:rPr>
                <w:rFonts w:ascii="Times New Roman"/>
                <w:b w:val="false"/>
                <w:i w:val="false"/>
                <w:color w:val="000000"/>
                <w:sz w:val="20"/>
              </w:rPr>
              <w:t>and aerospace industry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January 29, 2019 № 13/НҚ</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January 29, 2019 № 12 </w:t>
            </w:r>
          </w:p>
        </w:tc>
      </w:tr>
    </w:tbl>
    <w:p>
      <w:pPr>
        <w:spacing w:after="0"/>
        <w:ind w:left="0"/>
        <w:jc w:val="left"/>
      </w:pPr>
      <w:r>
        <w:rPr>
          <w:rFonts w:ascii="Times New Roman"/>
          <w:b/>
          <w:i w:val="false"/>
          <w:color w:val="000000"/>
        </w:rPr>
        <w:t xml:space="preserve"> Checklist in the field of informatization in terms of ensuring information security in relation</w:t>
      </w:r>
      <w:r>
        <w:br/>
      </w:r>
      <w:r>
        <w:rPr>
          <w:rFonts w:ascii="Times New Roman"/>
          <w:b/>
          <w:i w:val="false"/>
          <w:color w:val="000000"/>
        </w:rPr>
        <w:t xml:space="preserve">to the state and local executive bodies </w:t>
      </w:r>
    </w:p>
    <w:p>
      <w:pPr>
        <w:spacing w:after="0"/>
        <w:ind w:left="0"/>
        <w:jc w:val="both"/>
      </w:pPr>
      <w:r>
        <w:rPr>
          <w:rFonts w:ascii="Times New Roman"/>
          <w:b w:val="false"/>
          <w:i w:val="false"/>
          <w:color w:val="ff0000"/>
          <w:sz w:val="28"/>
        </w:rPr>
        <w:t>
      Footnote. Annex 1 recognized as invalid by joint order of the Minister of Digital Development, Innovation and Aerospace Industry of the Republic of Kazakhstan dated 20.01.2023 № 21/NҚ and the Minister of National Economy of the Republic of Kazakhstan dated 23.01.2023 № 8 (shall enter into force dated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joint order of the Deputy</w:t>
            </w:r>
            <w:r>
              <w:br/>
            </w:r>
            <w:r>
              <w:rPr>
                <w:rFonts w:ascii="Times New Roman"/>
                <w:b w:val="false"/>
                <w:i w:val="false"/>
                <w:color w:val="000000"/>
                <w:sz w:val="20"/>
              </w:rPr>
              <w:t>Prime Minister of the Republic of</w:t>
            </w:r>
            <w:r>
              <w:br/>
            </w:r>
            <w:r>
              <w:rPr>
                <w:rFonts w:ascii="Times New Roman"/>
                <w:b w:val="false"/>
                <w:i w:val="false"/>
                <w:color w:val="000000"/>
                <w:sz w:val="20"/>
              </w:rPr>
              <w:t>Kazakhstan – Minister of defense</w:t>
            </w:r>
            <w:r>
              <w:br/>
            </w:r>
            <w:r>
              <w:rPr>
                <w:rFonts w:ascii="Times New Roman"/>
                <w:b w:val="false"/>
                <w:i w:val="false"/>
                <w:color w:val="000000"/>
                <w:sz w:val="20"/>
              </w:rPr>
              <w:t>and aerospace industry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January 29, 2019 № 13/НҚ</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January 29, 2019 № 12</w:t>
            </w:r>
          </w:p>
        </w:tc>
      </w:tr>
    </w:tbl>
    <w:bookmarkStart w:name="z19" w:id="0"/>
    <w:p>
      <w:pPr>
        <w:spacing w:after="0"/>
        <w:ind w:left="0"/>
        <w:jc w:val="left"/>
      </w:pPr>
      <w:r>
        <w:rPr>
          <w:rFonts w:ascii="Times New Roman"/>
          <w:b/>
          <w:i w:val="false"/>
          <w:color w:val="000000"/>
        </w:rPr>
        <w:t xml:space="preserve"> Checklist in the sphere of informatization regarding ensuring information security</w:t>
      </w:r>
      <w:r>
        <w:br/>
      </w:r>
      <w:r>
        <w:rPr>
          <w:rFonts w:ascii="Times New Roman"/>
          <w:b/>
          <w:i w:val="false"/>
          <w:color w:val="000000"/>
        </w:rPr>
        <w:t>_________________________________________________________________</w:t>
      </w:r>
      <w:r>
        <w:br/>
      </w:r>
      <w:r>
        <w:rPr>
          <w:rFonts w:ascii="Times New Roman"/>
          <w:b/>
          <w:i w:val="false"/>
          <w:color w:val="000000"/>
        </w:rPr>
        <w:t>pursuant to Article 138</w:t>
      </w:r>
    </w:p>
    <w:bookmarkEnd w:id="0"/>
    <w:p>
      <w:pPr>
        <w:spacing w:after="0"/>
        <w:ind w:left="0"/>
        <w:jc w:val="both"/>
      </w:pPr>
      <w:r>
        <w:rPr>
          <w:rFonts w:ascii="Times New Roman"/>
          <w:b w:val="false"/>
          <w:i w:val="false"/>
          <w:color w:val="ff0000"/>
          <w:sz w:val="28"/>
        </w:rPr>
        <w:t>
      Footnote. Annex 3 - as amended by the joint order of the Minister of Digital Development, Innovation and Aerospace Industry of the Republic of Kazakhstan dated 20.01.2023 № 21/NҚ and the Minister of National Economy of the Republic of Kazakhstan dated 23.01.2023 № 8 shall enter into force dated 01.01.2023).</w:t>
      </w:r>
    </w:p>
    <w:p>
      <w:pPr>
        <w:spacing w:after="0"/>
        <w:ind w:left="0"/>
        <w:jc w:val="both"/>
      </w:pPr>
      <w:r>
        <w:rPr>
          <w:rFonts w:ascii="Times New Roman"/>
          <w:b w:val="false"/>
          <w:i w:val="false"/>
          <w:color w:val="000000"/>
          <w:sz w:val="28"/>
        </w:rPr>
        <w:t>
      __________________________________________________________________</w:t>
      </w:r>
    </w:p>
    <w:bookmarkStart w:name="z20" w:id="1"/>
    <w:p>
      <w:pPr>
        <w:spacing w:after="0"/>
        <w:ind w:left="0"/>
        <w:jc w:val="both"/>
      </w:pPr>
      <w:r>
        <w:rPr>
          <w:rFonts w:ascii="Times New Roman"/>
          <w:b w:val="false"/>
          <w:i w:val="false"/>
          <w:color w:val="000000"/>
          <w:sz w:val="28"/>
        </w:rPr>
        <w:t>
      Entrepreneurial Code of the Republic of Kazakhstan</w:t>
      </w:r>
    </w:p>
    <w:bookmarkEnd w:id="1"/>
    <w:p>
      <w:pPr>
        <w:spacing w:after="0"/>
        <w:ind w:left="0"/>
        <w:jc w:val="both"/>
      </w:pPr>
      <w:r>
        <w:rPr>
          <w:rFonts w:ascii="Times New Roman"/>
          <w:b w:val="false"/>
          <w:i w:val="false"/>
          <w:color w:val="000000"/>
          <w:sz w:val="28"/>
        </w:rPr>
        <w:t>
      in relation to: state legal entities, entities</w:t>
      </w:r>
    </w:p>
    <w:p>
      <w:pPr>
        <w:spacing w:after="0"/>
        <w:ind w:left="0"/>
        <w:jc w:val="both"/>
      </w:pPr>
      <w:r>
        <w:rPr>
          <w:rFonts w:ascii="Times New Roman"/>
          <w:b w:val="false"/>
          <w:i w:val="false"/>
          <w:color w:val="000000"/>
          <w:sz w:val="28"/>
        </w:rPr>
        <w:t>
      quasi-public sector, owners and owners of non-state</w:t>
      </w:r>
    </w:p>
    <w:p>
      <w:pPr>
        <w:spacing w:after="0"/>
        <w:ind w:left="0"/>
        <w:jc w:val="both"/>
      </w:pPr>
      <w:r>
        <w:rPr>
          <w:rFonts w:ascii="Times New Roman"/>
          <w:b w:val="false"/>
          <w:i w:val="false"/>
          <w:color w:val="000000"/>
          <w:sz w:val="28"/>
        </w:rPr>
        <w:t>
      information systems integrated with information systems</w:t>
      </w:r>
    </w:p>
    <w:p>
      <w:pPr>
        <w:spacing w:after="0"/>
        <w:ind w:left="0"/>
        <w:jc w:val="both"/>
      </w:pPr>
      <w:r>
        <w:rPr>
          <w:rFonts w:ascii="Times New Roman"/>
          <w:b w:val="false"/>
          <w:i w:val="false"/>
          <w:color w:val="000000"/>
          <w:sz w:val="28"/>
        </w:rPr>
        <w:t>
      state bodies or intended for the formation of state</w:t>
      </w:r>
    </w:p>
    <w:p>
      <w:pPr>
        <w:spacing w:after="0"/>
        <w:ind w:left="0"/>
        <w:jc w:val="both"/>
      </w:pPr>
      <w:r>
        <w:rPr>
          <w:rFonts w:ascii="Times New Roman"/>
          <w:b w:val="false"/>
          <w:i w:val="false"/>
          <w:color w:val="000000"/>
          <w:sz w:val="28"/>
        </w:rPr>
        <w:t>
      electronic information resources, as well as owners and proprietors</w:t>
      </w:r>
    </w:p>
    <w:p>
      <w:pPr>
        <w:spacing w:after="0"/>
        <w:ind w:left="0"/>
        <w:jc w:val="both"/>
      </w:pPr>
      <w:r>
        <w:rPr>
          <w:rFonts w:ascii="Times New Roman"/>
          <w:b w:val="false"/>
          <w:i w:val="false"/>
          <w:color w:val="000000"/>
          <w:sz w:val="28"/>
        </w:rPr>
        <w:t>
      Critical Information and Communications Infrastructure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a homogeneous group of control subjects (objects)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state body that appointed the audit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Inspection Assignment Certificate 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___________________________________________</w:t>
      </w:r>
    </w:p>
    <w:p>
      <w:pPr>
        <w:spacing w:after="0"/>
        <w:ind w:left="0"/>
        <w:jc w:val="both"/>
      </w:pPr>
      <w:r>
        <w:rPr>
          <w:rFonts w:ascii="Times New Roman"/>
          <w:b w:val="false"/>
          <w:i w:val="false"/>
          <w:color w:val="000000"/>
          <w:sz w:val="28"/>
        </w:rPr>
        <w:t>
      Address of residence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connect local, departmental and corporate telecommunication networks of state bodies, local executive body, state legal entities, entities of the quasi-public sector, as well as owners of critical information and communication infrastructure (hereinafter referred to as ICI) to the Internet by telecom operators through a unified gateway to the Internet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notify the owner of critical information and communication infrastructure facilities of the National coordination center for information security about information security incidents and the results of response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use of means:</w:t>
            </w:r>
          </w:p>
          <w:p>
            <w:pPr>
              <w:spacing w:after="20"/>
              <w:ind w:left="20"/>
              <w:jc w:val="both"/>
            </w:pPr>
            <w:r>
              <w:rPr>
                <w:rFonts w:ascii="Times New Roman"/>
                <w:b w:val="false"/>
                <w:i w:val="false"/>
                <w:color w:val="000000"/>
                <w:sz w:val="20"/>
              </w:rPr>
              <w:t>
User identification, authentication, and access control</w:t>
            </w:r>
          </w:p>
          <w:p>
            <w:pPr>
              <w:spacing w:after="20"/>
              <w:ind w:left="20"/>
              <w:jc w:val="both"/>
            </w:pPr>
            <w:r>
              <w:rPr>
                <w:rFonts w:ascii="Times New Roman"/>
                <w:b w:val="false"/>
                <w:i w:val="false"/>
                <w:color w:val="000000"/>
                <w:sz w:val="20"/>
              </w:rPr>
              <w:t>
equipment identification;</w:t>
            </w:r>
          </w:p>
          <w:p>
            <w:pPr>
              <w:spacing w:after="20"/>
              <w:ind w:left="20"/>
              <w:jc w:val="both"/>
            </w:pPr>
            <w:r>
              <w:rPr>
                <w:rFonts w:ascii="Times New Roman"/>
                <w:b w:val="false"/>
                <w:i w:val="false"/>
                <w:color w:val="000000"/>
                <w:sz w:val="20"/>
              </w:rPr>
              <w:t>
protection of diagnostic and configuration ports;</w:t>
            </w:r>
          </w:p>
          <w:p>
            <w:pPr>
              <w:spacing w:after="20"/>
              <w:ind w:left="20"/>
              <w:jc w:val="both"/>
            </w:pPr>
            <w:r>
              <w:rPr>
                <w:rFonts w:ascii="Times New Roman"/>
                <w:b w:val="false"/>
                <w:i w:val="false"/>
                <w:color w:val="000000"/>
                <w:sz w:val="20"/>
              </w:rPr>
              <w:t xml:space="preserve">
Physical segmentation of local network </w:t>
            </w:r>
          </w:p>
          <w:p>
            <w:pPr>
              <w:spacing w:after="20"/>
              <w:ind w:left="20"/>
              <w:jc w:val="both"/>
            </w:pPr>
            <w:r>
              <w:rPr>
                <w:rFonts w:ascii="Times New Roman"/>
                <w:b w:val="false"/>
                <w:i w:val="false"/>
                <w:color w:val="000000"/>
                <w:sz w:val="20"/>
              </w:rPr>
              <w:t>
Logical segmentation of local network</w:t>
            </w:r>
          </w:p>
          <w:p>
            <w:pPr>
              <w:spacing w:after="20"/>
              <w:ind w:left="20"/>
              <w:jc w:val="both"/>
            </w:pPr>
            <w:r>
              <w:rPr>
                <w:rFonts w:ascii="Times New Roman"/>
                <w:b w:val="false"/>
                <w:i w:val="false"/>
                <w:color w:val="000000"/>
                <w:sz w:val="20"/>
              </w:rPr>
              <w:t>
Management of network connections</w:t>
            </w:r>
          </w:p>
          <w:p>
            <w:pPr>
              <w:spacing w:after="20"/>
              <w:ind w:left="20"/>
              <w:jc w:val="both"/>
            </w:pPr>
            <w:r>
              <w:rPr>
                <w:rFonts w:ascii="Times New Roman"/>
                <w:b w:val="false"/>
                <w:i w:val="false"/>
                <w:color w:val="000000"/>
                <w:sz w:val="20"/>
              </w:rPr>
              <w:t>
firewalling;</w:t>
            </w:r>
          </w:p>
          <w:p>
            <w:pPr>
              <w:spacing w:after="20"/>
              <w:ind w:left="20"/>
              <w:jc w:val="both"/>
            </w:pPr>
            <w:r>
              <w:rPr>
                <w:rFonts w:ascii="Times New Roman"/>
                <w:b w:val="false"/>
                <w:i w:val="false"/>
                <w:color w:val="000000"/>
                <w:sz w:val="20"/>
              </w:rPr>
              <w:t>
concealing the internal address space of the local network;</w:t>
            </w:r>
          </w:p>
          <w:p>
            <w:pPr>
              <w:spacing w:after="20"/>
              <w:ind w:left="20"/>
              <w:jc w:val="both"/>
            </w:pPr>
            <w:r>
              <w:rPr>
                <w:rFonts w:ascii="Times New Roman"/>
                <w:b w:val="false"/>
                <w:i w:val="false"/>
                <w:color w:val="000000"/>
                <w:sz w:val="20"/>
              </w:rPr>
              <w:t>
Control the integrity of data, messages, and configurations</w:t>
            </w:r>
          </w:p>
          <w:p>
            <w:pPr>
              <w:spacing w:after="20"/>
              <w:ind w:left="20"/>
              <w:jc w:val="both"/>
            </w:pPr>
            <w:r>
              <w:rPr>
                <w:rFonts w:ascii="Times New Roman"/>
                <w:b w:val="false"/>
                <w:i w:val="false"/>
                <w:color w:val="000000"/>
                <w:sz w:val="20"/>
              </w:rPr>
              <w:t>
cryptographic information 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information security monitoring, protection and safe functioning during operation of informatization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anti-virus tools, updates of operating systems on workstations connected to the Internet when organizing access to the Internet from local networks of the outer outline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security subdivision, which shall be a structural subdivision separated from other structural subdivisions dealing with the creation, maintenance and development of informatization objects, or determination of an official responsible for information security, with the passage of specialized courses in the field of information security at least once every three years with the issuance of a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with regulatory and technical documentation (hereinafter referred to as TD) on information security, in the form of a four-level system of documented rules, procedures, practices or guidelines that guide state bodies (hereinafter referred to as the SB), local executive body (hereinafter referred to as the LEB) or organization in its activities.</w:t>
            </w:r>
          </w:p>
          <w:p>
            <w:pPr>
              <w:spacing w:after="20"/>
              <w:ind w:left="20"/>
              <w:jc w:val="both"/>
            </w:pPr>
            <w:r>
              <w:rPr>
                <w:rFonts w:ascii="Times New Roman"/>
                <w:b w:val="false"/>
                <w:i w:val="false"/>
                <w:color w:val="000000"/>
                <w:sz w:val="20"/>
              </w:rPr>
              <w:t>
IS TD shall be developed in Kazakh and Russian languages, approved by the legal act of the Civil Defense, LEB or organization and communicated to all employees of the Civil Defense, LEB or organization employees. IS TD shall be revised in order to analyze and update the information set forth therein at least once every two years.</w:t>
            </w:r>
          </w:p>
          <w:p>
            <w:pPr>
              <w:spacing w:after="20"/>
              <w:ind w:left="20"/>
              <w:jc w:val="both"/>
            </w:pPr>
            <w:r>
              <w:rPr>
                <w:rFonts w:ascii="Times New Roman"/>
                <w:b w:val="false"/>
                <w:i w:val="false"/>
                <w:color w:val="000000"/>
                <w:sz w:val="20"/>
              </w:rPr>
              <w:t>
1. The information security policy of a civil defense, IS SB LEB or organization is a first-level document and defines the goals, objectives, guidelines and practices in the field of information security.</w:t>
            </w:r>
          </w:p>
          <w:p>
            <w:pPr>
              <w:spacing w:after="20"/>
              <w:ind w:left="20"/>
              <w:jc w:val="both"/>
            </w:pPr>
            <w:r>
              <w:rPr>
                <w:rFonts w:ascii="Times New Roman"/>
                <w:b w:val="false"/>
                <w:i w:val="false"/>
                <w:color w:val="000000"/>
                <w:sz w:val="20"/>
              </w:rPr>
              <w:t>
2. The list of documents of the second level shall include documents detailing the requirements of the information security policy of the Civil Defense, LEB or organization, including:</w:t>
            </w:r>
          </w:p>
          <w:p>
            <w:pPr>
              <w:spacing w:after="20"/>
              <w:ind w:left="20"/>
              <w:jc w:val="both"/>
            </w:pPr>
            <w:r>
              <w:rPr>
                <w:rFonts w:ascii="Times New Roman"/>
                <w:b w:val="false"/>
                <w:i w:val="false"/>
                <w:color w:val="000000"/>
                <w:sz w:val="20"/>
              </w:rPr>
              <w:t>
1) IS risk assessment methodology;</w:t>
            </w:r>
          </w:p>
          <w:p>
            <w:pPr>
              <w:spacing w:after="20"/>
              <w:ind w:left="20"/>
              <w:jc w:val="both"/>
            </w:pPr>
            <w:r>
              <w:rPr>
                <w:rFonts w:ascii="Times New Roman"/>
                <w:b w:val="false"/>
                <w:i w:val="false"/>
                <w:color w:val="000000"/>
                <w:sz w:val="20"/>
              </w:rPr>
              <w:t>
2) rules for identification, classification and marking of assets related to information processing means;</w:t>
            </w:r>
          </w:p>
          <w:p>
            <w:pPr>
              <w:spacing w:after="20"/>
              <w:ind w:left="20"/>
              <w:jc w:val="both"/>
            </w:pPr>
            <w:r>
              <w:rPr>
                <w:rFonts w:ascii="Times New Roman"/>
                <w:b w:val="false"/>
                <w:i w:val="false"/>
                <w:color w:val="000000"/>
                <w:sz w:val="20"/>
              </w:rPr>
              <w:t>
3) rules for ensuring the continuous operation of assets related to information processing means;</w:t>
            </w:r>
          </w:p>
          <w:p>
            <w:pPr>
              <w:spacing w:after="20"/>
              <w:ind w:left="20"/>
              <w:jc w:val="both"/>
            </w:pPr>
            <w:r>
              <w:rPr>
                <w:rFonts w:ascii="Times New Roman"/>
                <w:b w:val="false"/>
                <w:i w:val="false"/>
                <w:color w:val="000000"/>
                <w:sz w:val="20"/>
              </w:rPr>
              <w:t>
4) rules for inventory and certification of computer equipment, telecommunications equipment and software;</w:t>
            </w:r>
          </w:p>
          <w:p>
            <w:pPr>
              <w:spacing w:after="20"/>
              <w:ind w:left="20"/>
              <w:jc w:val="both"/>
            </w:pPr>
            <w:r>
              <w:rPr>
                <w:rFonts w:ascii="Times New Roman"/>
                <w:b w:val="false"/>
                <w:i w:val="false"/>
                <w:color w:val="000000"/>
                <w:sz w:val="20"/>
              </w:rPr>
              <w:t>
5) IS internal audit rules;</w:t>
            </w:r>
          </w:p>
          <w:p>
            <w:pPr>
              <w:spacing w:after="20"/>
              <w:ind w:left="20"/>
              <w:jc w:val="both"/>
            </w:pPr>
            <w:r>
              <w:rPr>
                <w:rFonts w:ascii="Times New Roman"/>
                <w:b w:val="false"/>
                <w:i w:val="false"/>
                <w:color w:val="000000"/>
                <w:sz w:val="20"/>
              </w:rPr>
              <w:t>
6) rules for the use of cryptographic information protection tools (hereinafter referred to as CIPT);</w:t>
            </w:r>
          </w:p>
          <w:p>
            <w:pPr>
              <w:spacing w:after="20"/>
              <w:ind w:left="20"/>
              <w:jc w:val="both"/>
            </w:pPr>
            <w:r>
              <w:rPr>
                <w:rFonts w:ascii="Times New Roman"/>
                <w:b w:val="false"/>
                <w:i w:val="false"/>
                <w:color w:val="000000"/>
                <w:sz w:val="20"/>
              </w:rPr>
              <w:t>
7) rules for delimiting access rights to electronic information resources;</w:t>
            </w:r>
          </w:p>
          <w:p>
            <w:pPr>
              <w:spacing w:after="20"/>
              <w:ind w:left="20"/>
              <w:jc w:val="both"/>
            </w:pPr>
            <w:r>
              <w:rPr>
                <w:rFonts w:ascii="Times New Roman"/>
                <w:b w:val="false"/>
                <w:i w:val="false"/>
                <w:color w:val="000000"/>
                <w:sz w:val="20"/>
              </w:rPr>
              <w:t>
8) rules for using the Internet and e-mail;</w:t>
            </w:r>
          </w:p>
          <w:p>
            <w:pPr>
              <w:spacing w:after="20"/>
              <w:ind w:left="20"/>
              <w:jc w:val="both"/>
            </w:pPr>
            <w:r>
              <w:rPr>
                <w:rFonts w:ascii="Times New Roman"/>
                <w:b w:val="false"/>
                <w:i w:val="false"/>
                <w:color w:val="000000"/>
                <w:sz w:val="20"/>
              </w:rPr>
              <w:t>
9) rules for organizing the authentication procedure;</w:t>
            </w:r>
          </w:p>
          <w:p>
            <w:pPr>
              <w:spacing w:after="20"/>
              <w:ind w:left="20"/>
              <w:jc w:val="both"/>
            </w:pPr>
            <w:r>
              <w:rPr>
                <w:rFonts w:ascii="Times New Roman"/>
                <w:b w:val="false"/>
                <w:i w:val="false"/>
                <w:color w:val="000000"/>
                <w:sz w:val="20"/>
              </w:rPr>
              <w:t>
10) rules for organizing anti-virus control;</w:t>
            </w:r>
          </w:p>
          <w:p>
            <w:pPr>
              <w:spacing w:after="20"/>
              <w:ind w:left="20"/>
              <w:jc w:val="both"/>
            </w:pPr>
            <w:r>
              <w:rPr>
                <w:rFonts w:ascii="Times New Roman"/>
                <w:b w:val="false"/>
                <w:i w:val="false"/>
                <w:color w:val="000000"/>
                <w:sz w:val="20"/>
              </w:rPr>
              <w:t>
11) rules for the use of mobile devices and storage media;</w:t>
            </w:r>
          </w:p>
          <w:p>
            <w:pPr>
              <w:spacing w:after="20"/>
              <w:ind w:left="20"/>
              <w:jc w:val="both"/>
            </w:pPr>
            <w:r>
              <w:rPr>
                <w:rFonts w:ascii="Times New Roman"/>
                <w:b w:val="false"/>
                <w:i w:val="false"/>
                <w:color w:val="000000"/>
                <w:sz w:val="20"/>
              </w:rPr>
              <w:t>
12) rules for organizing physical protection of information processing means and a safe environment for the functioning of information resources.</w:t>
            </w:r>
          </w:p>
          <w:p>
            <w:pPr>
              <w:spacing w:after="20"/>
              <w:ind w:left="20"/>
              <w:jc w:val="both"/>
            </w:pPr>
            <w:r>
              <w:rPr>
                <w:rFonts w:ascii="Times New Roman"/>
                <w:b w:val="false"/>
                <w:i w:val="false"/>
                <w:color w:val="000000"/>
                <w:sz w:val="20"/>
              </w:rPr>
              <w:t>
3. The third level documents contain description of information security processes and procedures, including:</w:t>
            </w:r>
          </w:p>
          <w:p>
            <w:pPr>
              <w:spacing w:after="20"/>
              <w:ind w:left="20"/>
              <w:jc w:val="both"/>
            </w:pPr>
            <w:r>
              <w:rPr>
                <w:rFonts w:ascii="Times New Roman"/>
                <w:b w:val="false"/>
                <w:i w:val="false"/>
                <w:color w:val="000000"/>
                <w:sz w:val="20"/>
              </w:rPr>
              <w:t>
1) IS threat (risk) catalogue;</w:t>
            </w:r>
          </w:p>
          <w:p>
            <w:pPr>
              <w:spacing w:after="20"/>
              <w:ind w:left="20"/>
              <w:jc w:val="both"/>
            </w:pPr>
            <w:r>
              <w:rPr>
                <w:rFonts w:ascii="Times New Roman"/>
                <w:b w:val="false"/>
                <w:i w:val="false"/>
                <w:color w:val="000000"/>
                <w:sz w:val="20"/>
              </w:rPr>
              <w:t>
2) IS threat (risk) processing plan;</w:t>
            </w:r>
          </w:p>
          <w:p>
            <w:pPr>
              <w:spacing w:after="20"/>
              <w:ind w:left="20"/>
              <w:jc w:val="both"/>
            </w:pPr>
            <w:r>
              <w:rPr>
                <w:rFonts w:ascii="Times New Roman"/>
                <w:b w:val="false"/>
                <w:i w:val="false"/>
                <w:color w:val="000000"/>
                <w:sz w:val="20"/>
              </w:rPr>
              <w:t>
3) information backup and recovery regulations;</w:t>
            </w:r>
          </w:p>
          <w:p>
            <w:pPr>
              <w:spacing w:after="20"/>
              <w:ind w:left="20"/>
              <w:jc w:val="both"/>
            </w:pPr>
            <w:r>
              <w:rPr>
                <w:rFonts w:ascii="Times New Roman"/>
                <w:b w:val="false"/>
                <w:i w:val="false"/>
                <w:color w:val="000000"/>
                <w:sz w:val="20"/>
              </w:rPr>
              <w:t>
4) a plan of measures to ensure the continuous operation and restoration of the operability of assets related to information processing means;</w:t>
            </w:r>
          </w:p>
          <w:p>
            <w:pPr>
              <w:spacing w:after="20"/>
              <w:ind w:left="20"/>
              <w:jc w:val="both"/>
            </w:pPr>
            <w:r>
              <w:rPr>
                <w:rFonts w:ascii="Times New Roman"/>
                <w:b w:val="false"/>
                <w:i w:val="false"/>
                <w:color w:val="000000"/>
                <w:sz w:val="20"/>
              </w:rPr>
              <w:t>
5) administrator's guide to maintaining the informatization object;</w:t>
            </w:r>
          </w:p>
          <w:p>
            <w:pPr>
              <w:spacing w:after="20"/>
              <w:ind w:left="20"/>
              <w:jc w:val="both"/>
            </w:pPr>
            <w:r>
              <w:rPr>
                <w:rFonts w:ascii="Times New Roman"/>
                <w:b w:val="false"/>
                <w:i w:val="false"/>
                <w:color w:val="000000"/>
                <w:sz w:val="20"/>
              </w:rPr>
              <w:t>
6) instructions on the procedure for users to respond to information security incidents and in emergency (crisis) situations.</w:t>
            </w:r>
          </w:p>
          <w:p>
            <w:pPr>
              <w:spacing w:after="20"/>
              <w:ind w:left="20"/>
              <w:jc w:val="both"/>
            </w:pPr>
            <w:r>
              <w:rPr>
                <w:rFonts w:ascii="Times New Roman"/>
                <w:b w:val="false"/>
                <w:i w:val="false"/>
                <w:color w:val="000000"/>
                <w:sz w:val="20"/>
              </w:rPr>
              <w:t>
4. The list of documents of the fourth level shall include working forms, logs, applications, protocols and other documents, including electronic ones, used to register and confirm the performed procedures and works, including:</w:t>
            </w:r>
          </w:p>
          <w:p>
            <w:pPr>
              <w:spacing w:after="20"/>
              <w:ind w:left="20"/>
              <w:jc w:val="both"/>
            </w:pPr>
            <w:r>
              <w:rPr>
                <w:rFonts w:ascii="Times New Roman"/>
                <w:b w:val="false"/>
                <w:i w:val="false"/>
                <w:color w:val="000000"/>
                <w:sz w:val="20"/>
              </w:rPr>
              <w:t>
1) log of information security incidents and recording of emergency situations;</w:t>
            </w:r>
          </w:p>
          <w:p>
            <w:pPr>
              <w:spacing w:after="20"/>
              <w:ind w:left="20"/>
              <w:jc w:val="both"/>
            </w:pPr>
            <w:r>
              <w:rPr>
                <w:rFonts w:ascii="Times New Roman"/>
                <w:b w:val="false"/>
                <w:i w:val="false"/>
                <w:color w:val="000000"/>
                <w:sz w:val="20"/>
              </w:rPr>
              <w:t>
2) server room visit log;</w:t>
            </w:r>
          </w:p>
          <w:p>
            <w:pPr>
              <w:spacing w:after="20"/>
              <w:ind w:left="20"/>
              <w:jc w:val="both"/>
            </w:pPr>
            <w:r>
              <w:rPr>
                <w:rFonts w:ascii="Times New Roman"/>
                <w:b w:val="false"/>
                <w:i w:val="false"/>
                <w:color w:val="000000"/>
                <w:sz w:val="20"/>
              </w:rPr>
              <w:t>
3) report on network resource vulnerability assessment;</w:t>
            </w:r>
          </w:p>
          <w:p>
            <w:pPr>
              <w:spacing w:after="20"/>
              <w:ind w:left="20"/>
              <w:jc w:val="both"/>
            </w:pPr>
            <w:r>
              <w:rPr>
                <w:rFonts w:ascii="Times New Roman"/>
                <w:b w:val="false"/>
                <w:i w:val="false"/>
                <w:color w:val="000000"/>
                <w:sz w:val="20"/>
              </w:rPr>
              <w:t>
4) cable connection logbook;</w:t>
            </w:r>
          </w:p>
          <w:p>
            <w:pPr>
              <w:spacing w:after="20"/>
              <w:ind w:left="20"/>
              <w:jc w:val="both"/>
            </w:pPr>
            <w:r>
              <w:rPr>
                <w:rFonts w:ascii="Times New Roman"/>
                <w:b w:val="false"/>
                <w:i w:val="false"/>
                <w:color w:val="000000"/>
                <w:sz w:val="20"/>
              </w:rPr>
              <w:t>
5) log of accounting of backups (backup, recovery), testing of backups;</w:t>
            </w:r>
          </w:p>
          <w:p>
            <w:pPr>
              <w:spacing w:after="20"/>
              <w:ind w:left="20"/>
              <w:jc w:val="both"/>
            </w:pPr>
            <w:r>
              <w:rPr>
                <w:rFonts w:ascii="Times New Roman"/>
                <w:b w:val="false"/>
                <w:i w:val="false"/>
                <w:color w:val="000000"/>
                <w:sz w:val="20"/>
              </w:rPr>
              <w:t>
6) register of introduction of amendments in equipment configuration, testing and accounting of changes in free software (hereinafter referred to as FSW) and application software (hereinafter referred to as ASW) of information systems (hereinafter referred to as IS), registration and elimination of software vulnerabilities (hereinafter referred to as software);</w:t>
            </w:r>
          </w:p>
          <w:p>
            <w:pPr>
              <w:spacing w:after="20"/>
              <w:ind w:left="20"/>
              <w:jc w:val="both"/>
            </w:pPr>
            <w:r>
              <w:rPr>
                <w:rFonts w:ascii="Times New Roman"/>
                <w:b w:val="false"/>
                <w:i w:val="false"/>
                <w:color w:val="000000"/>
                <w:sz w:val="20"/>
              </w:rPr>
              <w:t>
7) test log of diesel generator sets and uninterruptible power supplies for the server room;</w:t>
            </w:r>
          </w:p>
          <w:p>
            <w:pPr>
              <w:spacing w:after="20"/>
              <w:ind w:left="20"/>
              <w:jc w:val="both"/>
            </w:pPr>
            <w:r>
              <w:rPr>
                <w:rFonts w:ascii="Times New Roman"/>
                <w:b w:val="false"/>
                <w:i w:val="false"/>
                <w:color w:val="000000"/>
                <w:sz w:val="20"/>
              </w:rPr>
              <w:t>
8) test log for microclimate, video surveillance, fire extinguishing systems in server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access to informatization objects of the first and second classes in accordance with the classifier for the use of multifactor authentication, including using an electronic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include in the job descriptions and (or) the terms of the employment contract functional duties to ensure IS and obligations to fulfill the requirements of the IS TD of the employees of the civil defense, LEB or employees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CIPT application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storage, restoration of state electronic information resources contained in the information system, safety of state electronic information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information security of information resources (hereinafter referred to as the IS IR) for use</w:t>
            </w:r>
          </w:p>
          <w:p>
            <w:pPr>
              <w:spacing w:after="20"/>
              <w:ind w:left="20"/>
              <w:jc w:val="both"/>
            </w:pPr>
            <w:r>
              <w:rPr>
                <w:rFonts w:ascii="Times New Roman"/>
                <w:b w:val="false"/>
                <w:i w:val="false"/>
                <w:color w:val="000000"/>
                <w:sz w:val="20"/>
              </w:rPr>
              <w:t>
content management systems, which shall perform:</w:t>
            </w:r>
          </w:p>
          <w:p>
            <w:pPr>
              <w:spacing w:after="20"/>
              <w:ind w:left="20"/>
              <w:jc w:val="both"/>
            </w:pPr>
            <w:r>
              <w:rPr>
                <w:rFonts w:ascii="Times New Roman"/>
                <w:b w:val="false"/>
                <w:i w:val="false"/>
                <w:color w:val="000000"/>
                <w:sz w:val="20"/>
              </w:rPr>
              <w:t>
authorization of placement, modification and deletion operations in electronic information resources (hereinafter referred to the EIR);</w:t>
            </w:r>
          </w:p>
          <w:p>
            <w:pPr>
              <w:spacing w:after="20"/>
              <w:ind w:left="20"/>
              <w:jc w:val="both"/>
            </w:pPr>
            <w:r>
              <w:rPr>
                <w:rFonts w:ascii="Times New Roman"/>
                <w:b w:val="false"/>
                <w:i w:val="false"/>
                <w:color w:val="000000"/>
                <w:sz w:val="20"/>
              </w:rPr>
              <w:t>
registration of authorship when posting, changing and deleting EIR;</w:t>
            </w:r>
          </w:p>
          <w:p>
            <w:pPr>
              <w:spacing w:after="20"/>
              <w:ind w:left="20"/>
              <w:jc w:val="both"/>
            </w:pPr>
            <w:r>
              <w:rPr>
                <w:rFonts w:ascii="Times New Roman"/>
                <w:b w:val="false"/>
                <w:i w:val="false"/>
                <w:color w:val="000000"/>
                <w:sz w:val="20"/>
              </w:rPr>
              <w:t>
checking the downloaded EIR for malicious code;</w:t>
            </w:r>
          </w:p>
          <w:p>
            <w:pPr>
              <w:spacing w:after="20"/>
              <w:ind w:left="20"/>
              <w:jc w:val="both"/>
            </w:pPr>
            <w:r>
              <w:rPr>
                <w:rFonts w:ascii="Times New Roman"/>
                <w:b w:val="false"/>
                <w:i w:val="false"/>
                <w:color w:val="000000"/>
                <w:sz w:val="20"/>
              </w:rPr>
              <w:t>
Audit the security of executable code and scripts</w:t>
            </w:r>
          </w:p>
          <w:p>
            <w:pPr>
              <w:spacing w:after="20"/>
              <w:ind w:left="20"/>
              <w:jc w:val="both"/>
            </w:pPr>
            <w:r>
              <w:rPr>
                <w:rFonts w:ascii="Times New Roman"/>
                <w:b w:val="false"/>
                <w:i w:val="false"/>
                <w:color w:val="000000"/>
                <w:sz w:val="20"/>
              </w:rPr>
              <w:t>
monitoring the integrity of the placed EIR;</w:t>
            </w:r>
          </w:p>
          <w:p>
            <w:pPr>
              <w:spacing w:after="20"/>
              <w:ind w:left="20"/>
              <w:jc w:val="both"/>
            </w:pPr>
            <w:r>
              <w:rPr>
                <w:rFonts w:ascii="Times New Roman"/>
                <w:b w:val="false"/>
                <w:i w:val="false"/>
                <w:color w:val="000000"/>
                <w:sz w:val="20"/>
              </w:rPr>
              <w:t>
keeping a log of EIR amendments;</w:t>
            </w:r>
          </w:p>
          <w:p>
            <w:pPr>
              <w:spacing w:after="20"/>
              <w:ind w:left="20"/>
              <w:jc w:val="both"/>
            </w:pPr>
            <w:r>
              <w:rPr>
                <w:rFonts w:ascii="Times New Roman"/>
                <w:b w:val="false"/>
                <w:i w:val="false"/>
                <w:color w:val="000000"/>
                <w:sz w:val="20"/>
              </w:rPr>
              <w:t>
monitoring of abnormal activity of users and software robots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the use of registration certificates to verify the authenticity of the domain name and cryptographic protection of the contents of the communication session using CIPT when ensuring IS 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 of management identification when using virtualization technology</w:t>
            </w:r>
          </w:p>
          <w:p>
            <w:pPr>
              <w:spacing w:after="20"/>
              <w:ind w:left="20"/>
              <w:jc w:val="both"/>
            </w:pPr>
            <w:r>
              <w:rPr>
                <w:rFonts w:ascii="Times New Roman"/>
                <w:b w:val="false"/>
                <w:i w:val="false"/>
                <w:color w:val="000000"/>
                <w:sz w:val="20"/>
              </w:rPr>
              <w:t>
authentication of information and communication services clients and privileged users;</w:t>
            </w:r>
          </w:p>
          <w:p>
            <w:pPr>
              <w:spacing w:after="20"/>
              <w:ind w:left="20"/>
              <w:jc w:val="both"/>
            </w:pPr>
            <w:r>
              <w:rPr>
                <w:rFonts w:ascii="Times New Roman"/>
                <w:b w:val="false"/>
                <w:i w:val="false"/>
                <w:color w:val="000000"/>
                <w:sz w:val="20"/>
              </w:rPr>
              <w:t>
federated user identification within the same technology platform</w:t>
            </w:r>
          </w:p>
          <w:p>
            <w:pPr>
              <w:spacing w:after="20"/>
              <w:ind w:left="20"/>
              <w:jc w:val="both"/>
            </w:pPr>
            <w:r>
              <w:rPr>
                <w:rFonts w:ascii="Times New Roman"/>
                <w:b w:val="false"/>
                <w:i w:val="false"/>
                <w:color w:val="000000"/>
                <w:sz w:val="20"/>
              </w:rPr>
              <w:t>
storing authentication information after deleting the user ID;</w:t>
            </w:r>
          </w:p>
          <w:p>
            <w:pPr>
              <w:spacing w:after="20"/>
              <w:ind w:left="20"/>
              <w:jc w:val="both"/>
            </w:pPr>
            <w:r>
              <w:rPr>
                <w:rFonts w:ascii="Times New Roman"/>
                <w:b w:val="false"/>
                <w:i w:val="false"/>
                <w:color w:val="000000"/>
                <w:sz w:val="20"/>
              </w:rPr>
              <w:t>
applying controls over procedures for assigning user authorization profiles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audit information security events when using virtualization technology:</w:t>
            </w:r>
          </w:p>
          <w:p>
            <w:pPr>
              <w:spacing w:after="20"/>
              <w:ind w:left="20"/>
              <w:jc w:val="both"/>
            </w:pPr>
            <w:r>
              <w:rPr>
                <w:rFonts w:ascii="Times New Roman"/>
                <w:b w:val="false"/>
                <w:i w:val="false"/>
                <w:color w:val="000000"/>
                <w:sz w:val="20"/>
              </w:rPr>
              <w:t>
mandatory and regular procedures defined in IS IR;</w:t>
            </w:r>
          </w:p>
          <w:p>
            <w:pPr>
              <w:spacing w:after="20"/>
              <w:ind w:left="20"/>
              <w:jc w:val="both"/>
            </w:pPr>
            <w:r>
              <w:rPr>
                <w:rFonts w:ascii="Times New Roman"/>
                <w:b w:val="false"/>
                <w:i w:val="false"/>
                <w:color w:val="000000"/>
                <w:sz w:val="20"/>
              </w:rPr>
              <w:t>
Audit procedures for all operating systems, client virtual machines, and network component infrastructure</w:t>
            </w:r>
          </w:p>
          <w:p>
            <w:pPr>
              <w:spacing w:after="20"/>
              <w:ind w:left="20"/>
              <w:jc w:val="both"/>
            </w:pPr>
            <w:r>
              <w:rPr>
                <w:rFonts w:ascii="Times New Roman"/>
                <w:b w:val="false"/>
                <w:i w:val="false"/>
                <w:color w:val="000000"/>
                <w:sz w:val="20"/>
              </w:rPr>
              <w:t>
logging of events and storage in a storage system inaccessible to the administrator;</w:t>
            </w:r>
          </w:p>
          <w:p>
            <w:pPr>
              <w:spacing w:after="20"/>
              <w:ind w:left="20"/>
              <w:jc w:val="both"/>
            </w:pPr>
            <w:r>
              <w:rPr>
                <w:rFonts w:ascii="Times New Roman"/>
                <w:b w:val="false"/>
                <w:i w:val="false"/>
                <w:color w:val="000000"/>
                <w:sz w:val="20"/>
              </w:rPr>
              <w:t>
Verify that the event logging system is working correctly.</w:t>
            </w:r>
          </w:p>
          <w:p>
            <w:pPr>
              <w:spacing w:after="20"/>
              <w:ind w:left="20"/>
              <w:jc w:val="both"/>
            </w:pPr>
            <w:r>
              <w:rPr>
                <w:rFonts w:ascii="Times New Roman"/>
                <w:b w:val="false"/>
                <w:i w:val="false"/>
                <w:color w:val="000000"/>
                <w:sz w:val="20"/>
              </w:rPr>
              <w:t>
determining the duration of storing event logs in information security DP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registration of information security events when using virtualization technology:</w:t>
            </w:r>
          </w:p>
          <w:p>
            <w:pPr>
              <w:spacing w:after="20"/>
              <w:ind w:left="20"/>
              <w:jc w:val="both"/>
            </w:pPr>
            <w:r>
              <w:rPr>
                <w:rFonts w:ascii="Times New Roman"/>
                <w:b w:val="false"/>
                <w:i w:val="false"/>
                <w:color w:val="000000"/>
                <w:sz w:val="20"/>
              </w:rPr>
              <w:t>
logging of administrator actions;</w:t>
            </w:r>
          </w:p>
          <w:p>
            <w:pPr>
              <w:spacing w:after="20"/>
              <w:ind w:left="20"/>
              <w:jc w:val="both"/>
            </w:pPr>
            <w:r>
              <w:rPr>
                <w:rFonts w:ascii="Times New Roman"/>
                <w:b w:val="false"/>
                <w:i w:val="false"/>
                <w:color w:val="000000"/>
                <w:sz w:val="20"/>
              </w:rPr>
              <w:t>
use of information security incidents and events monitoring system;</w:t>
            </w:r>
          </w:p>
          <w:p>
            <w:pPr>
              <w:spacing w:after="20"/>
              <w:ind w:left="20"/>
              <w:jc w:val="both"/>
            </w:pPr>
            <w:r>
              <w:rPr>
                <w:rFonts w:ascii="Times New Roman"/>
                <w:b w:val="false"/>
                <w:i w:val="false"/>
                <w:color w:val="000000"/>
                <w:sz w:val="20"/>
              </w:rPr>
              <w:t>
alerts based on automatic recognition of a critical event or information security incident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implementation of network and system administration procedures:</w:t>
            </w:r>
          </w:p>
          <w:p>
            <w:pPr>
              <w:spacing w:after="20"/>
              <w:ind w:left="20"/>
              <w:jc w:val="both"/>
            </w:pPr>
            <w:r>
              <w:rPr>
                <w:rFonts w:ascii="Times New Roman"/>
                <w:b w:val="false"/>
                <w:i w:val="false"/>
                <w:color w:val="000000"/>
                <w:sz w:val="20"/>
              </w:rPr>
              <w:t>
Ensuring the integrity of virtual machine images, monitoring the integrity of the operating system, applications, network configuration, software and data of the PG or organization for the presence of malicious signatures;</w:t>
            </w:r>
          </w:p>
          <w:p>
            <w:pPr>
              <w:spacing w:after="20"/>
              <w:ind w:left="20"/>
              <w:jc w:val="both"/>
            </w:pPr>
            <w:r>
              <w:rPr>
                <w:rFonts w:ascii="Times New Roman"/>
                <w:b w:val="false"/>
                <w:i w:val="false"/>
                <w:color w:val="000000"/>
                <w:sz w:val="20"/>
              </w:rPr>
              <w:t>
separating the hardware platform from the virtual machine operating system to prevent external users from accessing the hardware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ensuring storage systems by backup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use of software and hardware for information protection, including cryptographic encryption, using CIPT when organizing a dedicated communication channel connecting local networks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exclude interfacing of the internal loop local network and the external loop local network with each other, with the exception of organized communication channels using CIPT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use requirement of</w:t>
            </w:r>
          </w:p>
          <w:p>
            <w:pPr>
              <w:spacing w:after="20"/>
              <w:ind w:left="20"/>
              <w:jc w:val="both"/>
            </w:pPr>
            <w:r>
              <w:rPr>
                <w:rFonts w:ascii="Times New Roman"/>
                <w:b w:val="false"/>
                <w:i w:val="false"/>
                <w:color w:val="000000"/>
                <w:sz w:val="20"/>
              </w:rPr>
              <w:t>
departmental e-mail, instant messaging and other services; e-mail, instant messaging services and other services whose control centers and servers shall be physically located in the Republic of Kazakhstan, unless otherwise established by the authorized body, for the implementation of operational information exchange in electronic form by employees of the Civil Defense, LEBs and employees of state legal entities, entities of the quasi-public sector, as well as owners of critical objects of information and communication infrastructure (hereinafter referred to as the ICI) in the performance of their official duties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uninterruptible power supply for active equipment of local networks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physically disconnect unused local network cabling ports from active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the use of firewalling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during technical support of equipment installed in the server room:</w:t>
            </w:r>
          </w:p>
          <w:p>
            <w:pPr>
              <w:spacing w:after="20"/>
              <w:ind w:left="20"/>
              <w:jc w:val="both"/>
            </w:pPr>
            <w:r>
              <w:rPr>
                <w:rFonts w:ascii="Times New Roman"/>
                <w:b w:val="false"/>
                <w:i w:val="false"/>
                <w:color w:val="000000"/>
                <w:sz w:val="20"/>
              </w:rPr>
              <w:t>
1) equipment maintenance;</w:t>
            </w:r>
          </w:p>
          <w:p>
            <w:pPr>
              <w:spacing w:after="20"/>
              <w:ind w:left="20"/>
              <w:jc w:val="both"/>
            </w:pPr>
            <w:r>
              <w:rPr>
                <w:rFonts w:ascii="Times New Roman"/>
                <w:b w:val="false"/>
                <w:i w:val="false"/>
                <w:color w:val="000000"/>
                <w:sz w:val="20"/>
              </w:rPr>
              <w:t>
2) elimination of problems arising during the operation of hardware and software;</w:t>
            </w:r>
          </w:p>
          <w:p>
            <w:pPr>
              <w:spacing w:after="20"/>
              <w:ind w:left="20"/>
              <w:jc w:val="both"/>
            </w:pPr>
            <w:r>
              <w:rPr>
                <w:rFonts w:ascii="Times New Roman"/>
                <w:b w:val="false"/>
                <w:i w:val="false"/>
                <w:color w:val="000000"/>
                <w:sz w:val="20"/>
              </w:rPr>
              <w:t>
3) facts of failures and failures, as well as the results of restoration work;</w:t>
            </w:r>
          </w:p>
          <w:p>
            <w:pPr>
              <w:spacing w:after="20"/>
              <w:ind w:left="20"/>
              <w:jc w:val="both"/>
            </w:pPr>
            <w:r>
              <w:rPr>
                <w:rFonts w:ascii="Times New Roman"/>
                <w:b w:val="false"/>
                <w:i w:val="false"/>
                <w:color w:val="000000"/>
                <w:sz w:val="20"/>
              </w:rPr>
              <w:t>
4) post-warranty maintenance of critical equipment after the expiration of the warranty service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access control and management system in the server room providing authorized entrance to the server room and authorized exit from it. Barriers and the design of the front door shall prevent access identifiers from being transmitted backwards through the front door vestibule.</w:t>
            </w:r>
          </w:p>
          <w:p>
            <w:pPr>
              <w:spacing w:after="20"/>
              <w:ind w:left="20"/>
              <w:jc w:val="both"/>
            </w:pPr>
            <w:r>
              <w:rPr>
                <w:rFonts w:ascii="Times New Roman"/>
                <w:b w:val="false"/>
                <w:i w:val="false"/>
                <w:color w:val="000000"/>
                <w:sz w:val="20"/>
              </w:rPr>
              <w:t>
The central control device of the access control and management system shall be installed in separate office premises, premises of the security post, protected from access by unauthorized persons. The security personnel shall exclude access to the software of the access control and management system affecting the system operation modes.</w:t>
            </w:r>
          </w:p>
          <w:p>
            <w:pPr>
              <w:spacing w:after="20"/>
              <w:ind w:left="20"/>
              <w:jc w:val="both"/>
            </w:pPr>
            <w:r>
              <w:rPr>
                <w:rFonts w:ascii="Times New Roman"/>
                <w:b w:val="false"/>
                <w:i w:val="false"/>
                <w:color w:val="000000"/>
                <w:sz w:val="20"/>
              </w:rPr>
              <w:t>
Power supply of the access control and monitoring system is provided from the free group of the standby lighting board. Access control and monitoring system is provided by backup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up-to-date list of individuals authorized to maintain ICI objects installed in the server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microclimate support system in the server room:</w:t>
            </w:r>
          </w:p>
          <w:p>
            <w:pPr>
              <w:spacing w:after="20"/>
              <w:ind w:left="20"/>
              <w:jc w:val="both"/>
            </w:pPr>
            <w:r>
              <w:rPr>
                <w:rFonts w:ascii="Times New Roman"/>
                <w:b w:val="false"/>
                <w:i w:val="false"/>
                <w:color w:val="000000"/>
                <w:sz w:val="20"/>
              </w:rPr>
              <w:t>
microclimate support system shall include air conditioning, ventilation and microclimate monitoring systems;</w:t>
            </w:r>
          </w:p>
          <w:p>
            <w:pPr>
              <w:spacing w:after="20"/>
              <w:ind w:left="20"/>
              <w:jc w:val="both"/>
            </w:pPr>
            <w:r>
              <w:rPr>
                <w:rFonts w:ascii="Times New Roman"/>
                <w:b w:val="false"/>
                <w:i w:val="false"/>
                <w:color w:val="000000"/>
                <w:sz w:val="20"/>
              </w:rPr>
              <w:t>
air conditioning system shall be backed up;</w:t>
            </w:r>
          </w:p>
          <w:p>
            <w:pPr>
              <w:spacing w:after="20"/>
              <w:ind w:left="20"/>
              <w:jc w:val="both"/>
            </w:pPr>
            <w:r>
              <w:rPr>
                <w:rFonts w:ascii="Times New Roman"/>
                <w:b w:val="false"/>
                <w:i w:val="false"/>
                <w:color w:val="000000"/>
                <w:sz w:val="20"/>
              </w:rPr>
              <w:t>
server room air conditioners shall be powered from the guaranteed power supply system or uninterruptible power supply system;</w:t>
            </w:r>
          </w:p>
          <w:p>
            <w:pPr>
              <w:spacing w:after="20"/>
              <w:ind w:left="20"/>
              <w:jc w:val="both"/>
            </w:pPr>
            <w:r>
              <w:rPr>
                <w:rFonts w:ascii="Times New Roman"/>
                <w:b w:val="false"/>
                <w:i w:val="false"/>
                <w:color w:val="000000"/>
                <w:sz w:val="20"/>
              </w:rPr>
              <w:t>
air conditioning and ventilation systems shall be switched off automatically upon fire alarm signal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security alarm system in the server room:</w:t>
            </w:r>
          </w:p>
          <w:p>
            <w:pPr>
              <w:spacing w:after="20"/>
              <w:ind w:left="20"/>
              <w:jc w:val="both"/>
            </w:pPr>
            <w:r>
              <w:rPr>
                <w:rFonts w:ascii="Times New Roman"/>
                <w:b w:val="false"/>
                <w:i w:val="false"/>
                <w:color w:val="000000"/>
                <w:sz w:val="20"/>
              </w:rPr>
              <w:t>
the security alarm system of the server room shall be performed separately from the building security systems; alarm signals shall be output to the 24-hour security room in the form of a separate console; all entrances and exits of the server room, as well as the internal volume of the server room are subject to control and protection; security alarm system shall have its own redundant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video surveillance system in the server room:</w:t>
            </w:r>
          </w:p>
          <w:p>
            <w:pPr>
              <w:spacing w:after="20"/>
              <w:ind w:left="20"/>
              <w:jc w:val="both"/>
            </w:pPr>
            <w:r>
              <w:rPr>
                <w:rFonts w:ascii="Times New Roman"/>
                <w:b w:val="false"/>
                <w:i w:val="false"/>
                <w:color w:val="000000"/>
                <w:sz w:val="20"/>
              </w:rPr>
              <w:t>
location of CCTV cameras shall be selected taking into account the control of all entrances and exits to the server room, space and passages near the equipment;</w:t>
            </w:r>
          </w:p>
          <w:p>
            <w:pPr>
              <w:spacing w:after="20"/>
              <w:ind w:left="20"/>
              <w:jc w:val="both"/>
            </w:pPr>
            <w:r>
              <w:rPr>
                <w:rFonts w:ascii="Times New Roman"/>
                <w:b w:val="false"/>
                <w:i w:val="false"/>
                <w:color w:val="000000"/>
                <w:sz w:val="20"/>
              </w:rPr>
              <w:t>
the viewing angle and resolution of the cameras must provide face recognition; the image from the cameras is displayed on a separate console in the 24-hour security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 alarm system in the server room:</w:t>
            </w:r>
          </w:p>
          <w:p>
            <w:pPr>
              <w:spacing w:after="20"/>
              <w:ind w:left="20"/>
              <w:jc w:val="both"/>
            </w:pPr>
            <w:r>
              <w:rPr>
                <w:rFonts w:ascii="Times New Roman"/>
                <w:b w:val="false"/>
                <w:i w:val="false"/>
                <w:color w:val="000000"/>
                <w:sz w:val="20"/>
              </w:rPr>
              <w:t>
the server room fire alarm system shall be separate from the building fire alarm system;</w:t>
            </w:r>
          </w:p>
          <w:p>
            <w:pPr>
              <w:spacing w:after="20"/>
              <w:ind w:left="20"/>
              <w:jc w:val="both"/>
            </w:pPr>
            <w:r>
              <w:rPr>
                <w:rFonts w:ascii="Times New Roman"/>
                <w:b w:val="false"/>
                <w:i w:val="false"/>
                <w:color w:val="000000"/>
                <w:sz w:val="20"/>
              </w:rPr>
              <w:t>
two types of sensors shall be installed in the server room: temperature and smoke;</w:t>
            </w:r>
          </w:p>
          <w:p>
            <w:pPr>
              <w:spacing w:after="20"/>
              <w:ind w:left="20"/>
              <w:jc w:val="both"/>
            </w:pPr>
            <w:r>
              <w:rPr>
                <w:rFonts w:ascii="Times New Roman"/>
                <w:b w:val="false"/>
                <w:i w:val="false"/>
                <w:color w:val="000000"/>
                <w:sz w:val="20"/>
              </w:rPr>
              <w:t>
sensors monitor the total space of the server room and the volumes formed by the raised floor and (or) raised ceiling;</w:t>
            </w:r>
          </w:p>
          <w:p>
            <w:pPr>
              <w:spacing w:after="20"/>
              <w:ind w:left="20"/>
              <w:jc w:val="both"/>
            </w:pPr>
            <w:r>
              <w:rPr>
                <w:rFonts w:ascii="Times New Roman"/>
                <w:b w:val="false"/>
                <w:i w:val="false"/>
                <w:color w:val="000000"/>
                <w:sz w:val="20"/>
              </w:rPr>
              <w:t>
alarm signals of the fire alarm system are displayed on the console in the 24-hour security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 extinguishing system in the server room:</w:t>
            </w:r>
          </w:p>
          <w:p>
            <w:pPr>
              <w:spacing w:after="20"/>
              <w:ind w:left="20"/>
              <w:jc w:val="both"/>
            </w:pPr>
            <w:r>
              <w:rPr>
                <w:rFonts w:ascii="Times New Roman"/>
                <w:b w:val="false"/>
                <w:i w:val="false"/>
                <w:color w:val="000000"/>
                <w:sz w:val="20"/>
              </w:rPr>
              <w:t>
the server room fire extinguishing system is equipped with an automatic gas fire extinguishing system independent of the building fire extinguishing system;</w:t>
            </w:r>
          </w:p>
          <w:p>
            <w:pPr>
              <w:spacing w:after="20"/>
              <w:ind w:left="20"/>
              <w:jc w:val="both"/>
            </w:pPr>
            <w:r>
              <w:rPr>
                <w:rFonts w:ascii="Times New Roman"/>
                <w:b w:val="false"/>
                <w:i w:val="false"/>
                <w:color w:val="000000"/>
                <w:sz w:val="20"/>
              </w:rPr>
              <w:t>
special non-toxic gas shall be used as a fire extinguisher in an automatic gas fire extinguishing system; powder and liquid fire extinguishers shall not be used;</w:t>
            </w:r>
          </w:p>
          <w:p>
            <w:pPr>
              <w:spacing w:after="20"/>
              <w:ind w:left="20"/>
              <w:jc w:val="both"/>
            </w:pPr>
            <w:r>
              <w:rPr>
                <w:rFonts w:ascii="Times New Roman"/>
                <w:b w:val="false"/>
                <w:i w:val="false"/>
                <w:color w:val="000000"/>
                <w:sz w:val="20"/>
              </w:rPr>
              <w:t>
the gas fire extinguishing unit shall be located directly in the server room or near it in a cabinet specially equipped for this;</w:t>
            </w:r>
          </w:p>
          <w:p>
            <w:pPr>
              <w:spacing w:after="20"/>
              <w:ind w:left="20"/>
              <w:jc w:val="both"/>
            </w:pPr>
            <w:r>
              <w:rPr>
                <w:rFonts w:ascii="Times New Roman"/>
                <w:b w:val="false"/>
                <w:i w:val="false"/>
                <w:color w:val="000000"/>
                <w:sz w:val="20"/>
              </w:rPr>
              <w:t>
the fire extinguishing system shall be launched from early fire detection sensors responding to the appearance of smoke, as well as manual sensors located at the exit from the room;</w:t>
            </w:r>
          </w:p>
          <w:p>
            <w:pPr>
              <w:spacing w:after="20"/>
              <w:ind w:left="20"/>
              <w:jc w:val="both"/>
            </w:pPr>
            <w:r>
              <w:rPr>
                <w:rFonts w:ascii="Times New Roman"/>
                <w:b w:val="false"/>
                <w:i w:val="false"/>
                <w:color w:val="000000"/>
                <w:sz w:val="20"/>
              </w:rPr>
              <w:t>
notification of fire extinguishing system actuation shall be displayed on the annunciators located inside and outside the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guaranteed power supply system in the server room:</w:t>
            </w:r>
          </w:p>
          <w:p>
            <w:pPr>
              <w:spacing w:after="20"/>
              <w:ind w:left="20"/>
              <w:jc w:val="both"/>
            </w:pPr>
            <w:r>
              <w:rPr>
                <w:rFonts w:ascii="Times New Roman"/>
                <w:b w:val="false"/>
                <w:i w:val="false"/>
                <w:color w:val="000000"/>
                <w:sz w:val="20"/>
              </w:rPr>
              <w:t>
all power sources shall be supplied to the automatic backup circuit breaker, which performs automatic switching to the backup power input in case of power supply interruption at the main input;</w:t>
            </w:r>
          </w:p>
          <w:p>
            <w:pPr>
              <w:spacing w:after="20"/>
              <w:ind w:left="20"/>
              <w:jc w:val="both"/>
            </w:pPr>
            <w:r>
              <w:rPr>
                <w:rFonts w:ascii="Times New Roman"/>
                <w:b w:val="false"/>
                <w:i w:val="false"/>
                <w:color w:val="000000"/>
                <w:sz w:val="20"/>
              </w:rPr>
              <w:t>
the guaranteed power supply system provides power supply to the equipment and systems of the server room through uninterruptible power supplies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system in the server room:</w:t>
            </w:r>
          </w:p>
          <w:p>
            <w:pPr>
              <w:spacing w:after="20"/>
              <w:ind w:left="20"/>
              <w:jc w:val="both"/>
            </w:pPr>
            <w:r>
              <w:rPr>
                <w:rFonts w:ascii="Times New Roman"/>
                <w:b w:val="false"/>
                <w:i w:val="false"/>
                <w:color w:val="000000"/>
                <w:sz w:val="20"/>
              </w:rPr>
              <w:t>
the server room grounding system shall be separate from the building protective grounding;</w:t>
            </w:r>
          </w:p>
          <w:p>
            <w:pPr>
              <w:spacing w:after="20"/>
              <w:ind w:left="20"/>
              <w:jc w:val="both"/>
            </w:pPr>
            <w:r>
              <w:rPr>
                <w:rFonts w:ascii="Times New Roman"/>
                <w:b w:val="false"/>
                <w:i w:val="false"/>
                <w:color w:val="000000"/>
                <w:sz w:val="20"/>
              </w:rPr>
              <w:t>
all metal parts and structures of the server room shall be grounded with a common grounding bus. Each cabinet (rack) with equipment is grounded by a separate conductor connected to the common grounding bus;</w:t>
            </w:r>
          </w:p>
          <w:p>
            <w:pPr>
              <w:spacing w:after="20"/>
              <w:ind w:left="20"/>
              <w:jc w:val="both"/>
            </w:pPr>
            <w:r>
              <w:rPr>
                <w:rFonts w:ascii="Times New Roman"/>
                <w:b w:val="false"/>
                <w:i w:val="false"/>
                <w:color w:val="000000"/>
                <w:sz w:val="20"/>
              </w:rPr>
              <w:t>
open current-conducting parts of information processing equipment shall be connected to the main earthing terminal of the electrical installation;</w:t>
            </w:r>
          </w:p>
          <w:p>
            <w:pPr>
              <w:spacing w:after="20"/>
              <w:ind w:left="20"/>
              <w:jc w:val="both"/>
            </w:pPr>
            <w:r>
              <w:rPr>
                <w:rFonts w:ascii="Times New Roman"/>
                <w:b w:val="false"/>
                <w:i w:val="false"/>
                <w:color w:val="000000"/>
                <w:sz w:val="20"/>
              </w:rPr>
              <w:t>
earthing conductors connecting overvoltage protection devices to the main earthing busbar shall be the shortest and straightest (without corners)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powerful sources of electromagnetic interference (transformers, electric boards, electric motors, etc.) in the marshalling yard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pipes and valves of the water supply system in the marshalling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 safety systems in the marshalling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easily ignitable materials (wooden racks, cardboard, books, etc.) in the marshalling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separate power supply line from a separate circuit breaker in the marshalling room for connection of the cabinet under the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intrusion alarm systems, access control systems in the cross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air conditioning system in the marshalling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stage of experimental and industrial operation of informatization objects, the following means and systems shall be used:</w:t>
            </w:r>
          </w:p>
          <w:p>
            <w:pPr>
              <w:spacing w:after="20"/>
              <w:ind w:left="20"/>
              <w:jc w:val="both"/>
            </w:pPr>
            <w:r>
              <w:rPr>
                <w:rFonts w:ascii="Times New Roman"/>
                <w:b w:val="false"/>
                <w:i w:val="false"/>
                <w:color w:val="000000"/>
                <w:sz w:val="20"/>
              </w:rPr>
              <w:t>
monitoring and management of information security incidents and events;</w:t>
            </w:r>
          </w:p>
          <w:p>
            <w:pPr>
              <w:spacing w:after="20"/>
              <w:ind w:left="20"/>
              <w:jc w:val="both"/>
            </w:pPr>
            <w:r>
              <w:rPr>
                <w:rFonts w:ascii="Times New Roman"/>
                <w:b w:val="false"/>
                <w:i w:val="false"/>
                <w:color w:val="000000"/>
                <w:sz w:val="20"/>
              </w:rPr>
              <w:t>
intrusion detection and prevention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creation of its own information security operations center and ensuring its functioning or the acquisition of information security operations center services from third parties, as well as its interaction with the National information security coordination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placement on the Internet resource with the registered domain name .KZ and (or) KAZ on the hardware and software complex, which shall be located in the Republic of Kazakhstan.</w:t>
            </w:r>
          </w:p>
          <w:p>
            <w:pPr>
              <w:spacing w:after="20"/>
              <w:ind w:left="20"/>
              <w:jc w:val="both"/>
            </w:pPr>
            <w:r>
              <w:rPr>
                <w:rFonts w:ascii="Times New Roman"/>
                <w:b w:val="false"/>
                <w:i w:val="false"/>
                <w:color w:val="000000"/>
                <w:sz w:val="20"/>
              </w:rPr>
              <w:t>
The use of domain names .KZ and/or KAZ in the space of the Kazakhstan segment of the Internet when transferring data by Internet resources shall be carried out using security certificates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conduct a regular inventory of server equipment with verification of its configuration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purchase of goods in order to implement the requirements for ensuring information security for the country's defense and state security from the register of trusted software and electronic industry products.</w:t>
            </w:r>
          </w:p>
          <w:p>
            <w:pPr>
              <w:spacing w:after="20"/>
              <w:ind w:left="20"/>
              <w:jc w:val="both"/>
            </w:pPr>
            <w:r>
              <w:rPr>
                <w:rFonts w:ascii="Times New Roman"/>
                <w:b w:val="false"/>
                <w:i w:val="false"/>
                <w:color w:val="000000"/>
                <w:sz w:val="20"/>
              </w:rPr>
              <w:t>
At the same time, in the absence of the necessary products in the register of trusted software and products of the electronic industry, the purchase of goods is allowed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monitoring information security violation events in the civil defense, individual training center or organization:</w:t>
            </w:r>
          </w:p>
          <w:p>
            <w:pPr>
              <w:spacing w:after="20"/>
              <w:ind w:left="20"/>
              <w:jc w:val="both"/>
            </w:pPr>
            <w:r>
              <w:rPr>
                <w:rFonts w:ascii="Times New Roman"/>
                <w:b w:val="false"/>
                <w:i w:val="false"/>
                <w:color w:val="000000"/>
                <w:sz w:val="20"/>
              </w:rPr>
              <w:t>
1) monitoring of events related to information security violation and analysis of monitoring results;</w:t>
            </w:r>
          </w:p>
          <w:p>
            <w:pPr>
              <w:spacing w:after="20"/>
              <w:ind w:left="20"/>
              <w:jc w:val="both"/>
            </w:pPr>
            <w:r>
              <w:rPr>
                <w:rFonts w:ascii="Times New Roman"/>
                <w:b w:val="false"/>
                <w:i w:val="false"/>
                <w:color w:val="000000"/>
                <w:sz w:val="20"/>
              </w:rPr>
              <w:t>
2) registration of events related to the information security state, and violations shall be detected by analyzing the event logs, including:</w:t>
            </w:r>
          </w:p>
          <w:p>
            <w:pPr>
              <w:spacing w:after="20"/>
              <w:ind w:left="20"/>
              <w:jc w:val="both"/>
            </w:pPr>
            <w:r>
              <w:rPr>
                <w:rFonts w:ascii="Times New Roman"/>
                <w:b w:val="false"/>
                <w:i w:val="false"/>
                <w:color w:val="000000"/>
                <w:sz w:val="20"/>
              </w:rPr>
              <w:t>
Operating system event logs</w:t>
            </w:r>
          </w:p>
          <w:p>
            <w:pPr>
              <w:spacing w:after="20"/>
              <w:ind w:left="20"/>
              <w:jc w:val="both"/>
            </w:pPr>
            <w:r>
              <w:rPr>
                <w:rFonts w:ascii="Times New Roman"/>
                <w:b w:val="false"/>
                <w:i w:val="false"/>
                <w:color w:val="000000"/>
                <w:sz w:val="20"/>
              </w:rPr>
              <w:t>
event logs of database management systems;</w:t>
            </w:r>
          </w:p>
          <w:p>
            <w:pPr>
              <w:spacing w:after="20"/>
              <w:ind w:left="20"/>
              <w:jc w:val="both"/>
            </w:pPr>
            <w:r>
              <w:rPr>
                <w:rFonts w:ascii="Times New Roman"/>
                <w:b w:val="false"/>
                <w:i w:val="false"/>
                <w:color w:val="000000"/>
                <w:sz w:val="20"/>
              </w:rPr>
              <w:t>
antivirus event logs;</w:t>
            </w:r>
          </w:p>
          <w:p>
            <w:pPr>
              <w:spacing w:after="20"/>
              <w:ind w:left="20"/>
              <w:jc w:val="both"/>
            </w:pPr>
            <w:r>
              <w:rPr>
                <w:rFonts w:ascii="Times New Roman"/>
                <w:b w:val="false"/>
                <w:i w:val="false"/>
                <w:color w:val="000000"/>
                <w:sz w:val="20"/>
              </w:rPr>
              <w:t>
application software event logs;</w:t>
            </w:r>
          </w:p>
          <w:p>
            <w:pPr>
              <w:spacing w:after="20"/>
              <w:ind w:left="20"/>
              <w:jc w:val="both"/>
            </w:pPr>
            <w:r>
              <w:rPr>
                <w:rFonts w:ascii="Times New Roman"/>
                <w:b w:val="false"/>
                <w:i w:val="false"/>
                <w:color w:val="000000"/>
                <w:sz w:val="20"/>
              </w:rPr>
              <w:t>
event logs of telecommunication equipment;</w:t>
            </w:r>
          </w:p>
          <w:p>
            <w:pPr>
              <w:spacing w:after="20"/>
              <w:ind w:left="20"/>
              <w:jc w:val="both"/>
            </w:pPr>
            <w:r>
              <w:rPr>
                <w:rFonts w:ascii="Times New Roman"/>
                <w:b w:val="false"/>
                <w:i w:val="false"/>
                <w:color w:val="000000"/>
                <w:sz w:val="20"/>
              </w:rPr>
              <w:t>
Event logs of attack detection and prevention systems</w:t>
            </w:r>
          </w:p>
          <w:p>
            <w:pPr>
              <w:spacing w:after="20"/>
              <w:ind w:left="20"/>
              <w:jc w:val="both"/>
            </w:pPr>
            <w:r>
              <w:rPr>
                <w:rFonts w:ascii="Times New Roman"/>
                <w:b w:val="false"/>
                <w:i w:val="false"/>
                <w:color w:val="000000"/>
                <w:sz w:val="20"/>
              </w:rPr>
              <w:t>
content management system event logs;</w:t>
            </w:r>
          </w:p>
          <w:p>
            <w:pPr>
              <w:spacing w:after="20"/>
              <w:ind w:left="20"/>
              <w:jc w:val="both"/>
            </w:pPr>
            <w:r>
              <w:rPr>
                <w:rFonts w:ascii="Times New Roman"/>
                <w:b w:val="false"/>
                <w:i w:val="false"/>
                <w:color w:val="000000"/>
                <w:sz w:val="20"/>
              </w:rPr>
              <w:t>
3) ensuring synchronization of the time of event logs with the infrastructure of the time source;</w:t>
            </w:r>
          </w:p>
          <w:p>
            <w:pPr>
              <w:spacing w:after="20"/>
              <w:ind w:left="20"/>
              <w:jc w:val="both"/>
            </w:pPr>
            <w:r>
              <w:rPr>
                <w:rFonts w:ascii="Times New Roman"/>
                <w:b w:val="false"/>
                <w:i w:val="false"/>
                <w:color w:val="000000"/>
                <w:sz w:val="20"/>
              </w:rPr>
              <w:t>
4) storage of event logs for the period specified in the IS TD, but not less than three years and are in operational access for at least two months;</w:t>
            </w:r>
          </w:p>
          <w:p>
            <w:pPr>
              <w:spacing w:after="20"/>
              <w:ind w:left="20"/>
              <w:jc w:val="both"/>
            </w:pPr>
            <w:r>
              <w:rPr>
                <w:rFonts w:ascii="Times New Roman"/>
                <w:b w:val="false"/>
                <w:i w:val="false"/>
                <w:color w:val="000000"/>
                <w:sz w:val="20"/>
              </w:rPr>
              <w:t>
5) event logging</w:t>
            </w:r>
          </w:p>
          <w:p>
            <w:pPr>
              <w:spacing w:after="20"/>
              <w:ind w:left="20"/>
              <w:jc w:val="both"/>
            </w:pPr>
            <w:r>
              <w:rPr>
                <w:rFonts w:ascii="Times New Roman"/>
                <w:b w:val="false"/>
                <w:i w:val="false"/>
                <w:color w:val="000000"/>
                <w:sz w:val="20"/>
              </w:rPr>
              <w:t>
6) ensuring the protection of event logs from interference and unauthorized access. Do not allow system administrators to modify, delete, or disable logs. Confidential ISs require creation and maintenance of a backup log storage;</w:t>
            </w:r>
          </w:p>
          <w:p>
            <w:pPr>
              <w:spacing w:after="20"/>
              <w:ind w:left="20"/>
              <w:jc w:val="both"/>
            </w:pPr>
            <w:r>
              <w:rPr>
                <w:rFonts w:ascii="Times New Roman"/>
                <w:b w:val="false"/>
                <w:i w:val="false"/>
                <w:color w:val="000000"/>
                <w:sz w:val="20"/>
              </w:rPr>
              <w:t>
7) ensuring the implementation of a formalized procedure for reporting information security incidents and responding to information security incidents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existence of an agreement that shall establish the conditions for the operation, access or use of these objects, as well as responsibility for their violation when involving third-party organizations in ensuring the information security of EIR, IS, ICI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when dismissing or introducing amendments the conditions of the employment contract of the right of access of an employee of the Civil Defense, MO or employee of the organization to information and information processing means, including physical and logical access, access identifiers, subscriptions, documentation that shall identify him as an active SB employee, LEB or an employee of the organization are canceled after the termination of his employment contract or change when amending the terms of the employment contract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of the personnel department of the organization and keeping records of the passage of training in the field of informatization and information security by employees of the SB, LEB or employees of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register with the computer incident response service of the state technical service of events identified as critical for confidentiality, accessibility and integrity</w:t>
            </w:r>
          </w:p>
          <w:p>
            <w:pPr>
              <w:spacing w:after="20"/>
              <w:ind w:left="20"/>
              <w:jc w:val="both"/>
            </w:pPr>
            <w:r>
              <w:rPr>
                <w:rFonts w:ascii="Times New Roman"/>
                <w:b w:val="false"/>
                <w:i w:val="false"/>
                <w:color w:val="000000"/>
                <w:sz w:val="20"/>
              </w:rPr>
              <w:t>
based on the results of IS events monitoring analysis and event log analysis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conduct an IS audit at least once a year, to owners of critical ICI facilities that process data containing legally protected secrets, with the exception of second-tier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when writing off the IS, software or service software product to ensure the preservation of the structure and content of the database through the built-in functionality of the database management system of the decommissioned IS with the preparation of instructions for the restoration of the EIR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 with positive test result for compliance with information security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ensure the development or purchase of finished application software</w:t>
            </w:r>
          </w:p>
          <w:p>
            <w:pPr>
              <w:spacing w:after="20"/>
              <w:ind w:left="20"/>
              <w:jc w:val="both"/>
            </w:pPr>
            <w:r>
              <w:rPr>
                <w:rFonts w:ascii="Times New Roman"/>
                <w:b w:val="false"/>
                <w:i w:val="false"/>
                <w:color w:val="000000"/>
                <w:sz w:val="20"/>
              </w:rPr>
              <w:t>
user interface, input, processing and output of data in Kazakh, Russian and other languages, if necessary, with the possibility of user selection of the interface language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monitoring requirements:</w:t>
            </w:r>
          </w:p>
          <w:p>
            <w:pPr>
              <w:spacing w:after="20"/>
              <w:ind w:left="20"/>
              <w:jc w:val="both"/>
            </w:pPr>
            <w:r>
              <w:rPr>
                <w:rFonts w:ascii="Times New Roman"/>
                <w:b w:val="false"/>
                <w:i w:val="false"/>
                <w:color w:val="000000"/>
                <w:sz w:val="20"/>
              </w:rPr>
              <w:t>
actions of users and personnel;</w:t>
            </w:r>
          </w:p>
          <w:p>
            <w:pPr>
              <w:spacing w:after="20"/>
              <w:ind w:left="20"/>
              <w:jc w:val="both"/>
            </w:pPr>
            <w:r>
              <w:rPr>
                <w:rFonts w:ascii="Times New Roman"/>
                <w:b w:val="false"/>
                <w:i w:val="false"/>
                <w:color w:val="000000"/>
                <w:sz w:val="20"/>
              </w:rPr>
              <w:t>
use of information processing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provide the developed or purchased ready-made application software with technical documentation for operation in Kazakh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 embedded server high availability requirements:</w:t>
            </w:r>
          </w:p>
          <w:p>
            <w:pPr>
              <w:spacing w:after="20"/>
              <w:ind w:left="20"/>
              <w:jc w:val="both"/>
            </w:pPr>
            <w:r>
              <w:rPr>
                <w:rFonts w:ascii="Times New Roman"/>
                <w:b w:val="false"/>
                <w:i w:val="false"/>
                <w:color w:val="000000"/>
                <w:sz w:val="20"/>
              </w:rPr>
              <w:t>
1) hot-swappable redundant fans, power supplies, drives, and I/O adapters;</w:t>
            </w:r>
          </w:p>
          <w:p>
            <w:pPr>
              <w:spacing w:after="20"/>
              <w:ind w:left="20"/>
              <w:jc w:val="both"/>
            </w:pPr>
            <w:r>
              <w:rPr>
                <w:rFonts w:ascii="Times New Roman"/>
                <w:b w:val="false"/>
                <w:i w:val="false"/>
                <w:color w:val="000000"/>
                <w:sz w:val="20"/>
              </w:rPr>
              <w:t>
2) notification of critical events;</w:t>
            </w:r>
          </w:p>
          <w:p>
            <w:pPr>
              <w:spacing w:after="20"/>
              <w:ind w:left="20"/>
              <w:jc w:val="both"/>
            </w:pPr>
            <w:r>
              <w:rPr>
                <w:rFonts w:ascii="Times New Roman"/>
                <w:b w:val="false"/>
                <w:i w:val="false"/>
                <w:color w:val="000000"/>
                <w:sz w:val="20"/>
              </w:rPr>
              <w:t>
3) support for continuous monitoring of the state of critical components and measurement of monitored indicators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software and hardware for guaranteed destruction of information during decommissioning of information carriers used in confidential ISs, confidential AIRs and EIRs containing personal data of limited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local network diagram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hardware and software complex and data storage system in server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the location of the server room in separate, impassable rooms without window openings. If there are window openings, they are closed or closed with non-combustible materials.</w:t>
            </w:r>
          </w:p>
          <w:p>
            <w:pPr>
              <w:spacing w:after="20"/>
              <w:ind w:left="20"/>
              <w:jc w:val="both"/>
            </w:pPr>
            <w:r>
              <w:rPr>
                <w:rFonts w:ascii="Times New Roman"/>
                <w:b w:val="false"/>
                <w:i w:val="false"/>
                <w:color w:val="000000"/>
                <w:sz w:val="20"/>
              </w:rPr>
              <w:t>
For the surface of walls, ceilings and floors, materials that do not emit or accumulate dust shall be used. For flooring, materials with antistatic properties shall be used. The server room shall be protected from contaminants.</w:t>
            </w:r>
          </w:p>
          <w:p>
            <w:pPr>
              <w:spacing w:after="20"/>
              <w:ind w:left="20"/>
              <w:jc w:val="both"/>
            </w:pPr>
            <w:r>
              <w:rPr>
                <w:rFonts w:ascii="Times New Roman"/>
                <w:b w:val="false"/>
                <w:i w:val="false"/>
                <w:color w:val="000000"/>
                <w:sz w:val="20"/>
              </w:rPr>
              <w:t>
Walls, doors, ceiling, floor and partitions of the server room ensure the tightness of the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false floor and/or false ceiling in the server room for placement of cable systems and utilities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exclude any transit communications through the server room. Normal and fire water, heating and sewerage routes shall be located outside the server room and shall not be located above the server room on the upper floors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locate the main and backup server rooms at a safe distance in remote buildings. Redundant server room requirements shall be identical to primary server room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exclude placement in a server room in one virtual environment, one server equipment, one mounting cabinet or rack of EIR, IR, MSR, IS related in accordance with the classifier of informatization objects of the first class with informatization objects of the second and third class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2"/>
    <w:p>
      <w:pPr>
        <w:spacing w:after="0"/>
        <w:ind w:left="0"/>
        <w:jc w:val="both"/>
      </w:pPr>
      <w:r>
        <w:rPr>
          <w:rFonts w:ascii="Times New Roman"/>
          <w:b w:val="false"/>
          <w:i w:val="false"/>
          <w:color w:val="000000"/>
          <w:sz w:val="28"/>
        </w:rPr>
        <w:t>
      Official (s)</w:t>
      </w:r>
    </w:p>
    <w:bookmarkEnd w:id="2"/>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xml:space="preserve">
      position </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Head of control subject</w:t>
      </w:r>
    </w:p>
    <w:p>
      <w:pPr>
        <w:spacing w:after="0"/>
        <w:ind w:left="0"/>
        <w:jc w:val="both"/>
      </w:pPr>
      <w:r>
        <w:rPr>
          <w:rFonts w:ascii="Times New Roman"/>
          <w:b w:val="false"/>
          <w:i w:val="false"/>
          <w:color w:val="000000"/>
          <w:sz w:val="28"/>
        </w:rPr>
        <w:t>
      ___________________________________ ___________</w:t>
      </w:r>
    </w:p>
    <w:p>
      <w:pPr>
        <w:spacing w:after="0"/>
        <w:ind w:left="0"/>
        <w:jc w:val="both"/>
      </w:pPr>
      <w:r>
        <w:rPr>
          <w:rFonts w:ascii="Times New Roman"/>
          <w:b w:val="false"/>
          <w:i w:val="false"/>
          <w:color w:val="000000"/>
          <w:sz w:val="28"/>
        </w:rPr>
        <w:t xml:space="preserve">
      position </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