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c500" w14:textId="c3cc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for which electronic invoices are issued through the module "Virtual warehouse" of the information system of electronic invoices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384 of the First Deputy Prime-Minister of the Republic of Kazakhstan – Minister of Finance of the Republic of Kazakhstan dated April 23, 2019. Registered in the Ministry of Justice of the Republic of Kazakhstan on April 29, 2019 № 18603.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paragraph 3-1 of Article 412 of the Code of the Republic of Kazakhstan “On Taxes and Other Obligatory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Footnote. The preamble - as reworded by order of the Minister of Finance of the Republic of Kazakhstan № 1127 dated 01.11.2021 (shall come into effect upon expiry of ten calendar days after the day of its first official publication).</w:t>
      </w:r>
    </w:p>
    <w:p>
      <w:pPr>
        <w:spacing w:after="0"/>
        <w:ind w:left="0"/>
        <w:jc w:val="both"/>
      </w:pPr>
      <w:r>
        <w:rPr>
          <w:rFonts w:ascii="Times New Roman"/>
          <w:b w:val="false"/>
          <w:i w:val="false"/>
          <w:color w:val="000000"/>
          <w:sz w:val="28"/>
        </w:rPr>
        <w:t>
      1. To approve the attached list of goods for which electronic invoices are issued through the module "Virtual warehouse" of the information system of electronic invoices (hereinafter-the List).</w:t>
      </w:r>
    </w:p>
    <w:p>
      <w:pPr>
        <w:spacing w:after="0"/>
        <w:ind w:left="0"/>
        <w:jc w:val="both"/>
      </w:pPr>
      <w:r>
        <w:rPr>
          <w:rFonts w:ascii="Times New Roman"/>
          <w:b w:val="false"/>
          <w:i w:val="false"/>
          <w:color w:val="000000"/>
          <w:sz w:val="28"/>
        </w:rPr>
        <w:t>
      2. The state revenue Committee of the Ministry of Finance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in Ministry of Justice of the Republic of Kazakhstan submission of information on implementation of measures provided by subparagraphs 1), 2) and 3) of this paragraph to the legal Department of the Ministry of Finance of the Republic of Kazakhstan.</w:t>
      </w:r>
    </w:p>
    <w:p>
      <w:pPr>
        <w:spacing w:after="0"/>
        <w:ind w:left="0"/>
        <w:jc w:val="both"/>
      </w:pPr>
      <w:r>
        <w:rPr>
          <w:rFonts w:ascii="Times New Roman"/>
          <w:b w:val="false"/>
          <w:i w:val="false"/>
          <w:color w:val="000000"/>
          <w:sz w:val="28"/>
        </w:rPr>
        <w:t>
      3. This order shall be enforced upon the expiry of ten calendar days after its first official publication and shall apply, with the exception of paragraphs 226-335 of the List, to legal relations arising from January 1,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of the First Deputy Prime-Minister</w:t>
            </w:r>
            <w:r>
              <w:br/>
            </w:r>
            <w:r>
              <w:rPr>
                <w:rFonts w:ascii="Times New Roman"/>
                <w:b w:val="false"/>
                <w:i w:val="false"/>
                <w:color w:val="000000"/>
                <w:sz w:val="20"/>
              </w:rPr>
              <w:t>Republic of Kazakhstan –</w:t>
            </w:r>
            <w:r>
              <w:br/>
            </w:r>
            <w:r>
              <w:rPr>
                <w:rFonts w:ascii="Times New Roman"/>
                <w:b w:val="false"/>
                <w:i w:val="false"/>
                <w:color w:val="000000"/>
                <w:sz w:val="20"/>
              </w:rPr>
              <w:t xml:space="preserve">Minister of Finance </w:t>
            </w:r>
            <w:r>
              <w:br/>
            </w:r>
            <w:r>
              <w:rPr>
                <w:rFonts w:ascii="Times New Roman"/>
                <w:b w:val="false"/>
                <w:i w:val="false"/>
                <w:color w:val="000000"/>
                <w:sz w:val="20"/>
              </w:rPr>
              <w:t>of the Republic of Kazakhstan</w:t>
            </w:r>
            <w:r>
              <w:br/>
            </w:r>
            <w:r>
              <w:rPr>
                <w:rFonts w:ascii="Times New Roman"/>
                <w:b w:val="false"/>
                <w:i w:val="false"/>
                <w:color w:val="000000"/>
                <w:sz w:val="20"/>
              </w:rPr>
              <w:t>dated April 23, 2019, № 384</w:t>
            </w:r>
          </w:p>
        </w:tc>
      </w:tr>
    </w:tbl>
    <w:p>
      <w:pPr>
        <w:spacing w:after="0"/>
        <w:ind w:left="0"/>
        <w:jc w:val="left"/>
      </w:pPr>
      <w:r>
        <w:rPr>
          <w:rFonts w:ascii="Times New Roman"/>
          <w:b/>
          <w:i w:val="false"/>
          <w:color w:val="000000"/>
        </w:rPr>
        <w:t xml:space="preserve"> List of goods covered  by electronic invoices issued via the Virtual Warehouse Module of the electronic invoice information system  (hereinafter referred to as the List)</w:t>
      </w:r>
    </w:p>
    <w:p>
      <w:pPr>
        <w:spacing w:after="0"/>
        <w:ind w:left="0"/>
        <w:jc w:val="both"/>
      </w:pPr>
      <w:r>
        <w:rPr>
          <w:rFonts w:ascii="Times New Roman"/>
          <w:b w:val="false"/>
          <w:i w:val="false"/>
          <w:color w:val="ff0000"/>
          <w:sz w:val="28"/>
        </w:rPr>
        <w:t>
      Footnote. The List - as reworded by order of the Deputy Prime Minister – the Minister of Finance of the Republic of Kazakhstan № 278 dated 15.03.2023 (shall become effective on 01.04.2023); as amended by the order of the Deputy Prime Minister - Minister of Finance of the Republic of Kazakhstan dated 26.12.2023 № 1321 (effective from 15.03.2024).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Commodity Nomenclature of Foreign Economic Activities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entry into the Virtual Warehouse Module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 in receptacles of 2 litres or less:</w:t>
            </w:r>
          </w:p>
          <w:p>
            <w:pPr>
              <w:spacing w:after="20"/>
              <w:ind w:left="20"/>
              <w:jc w:val="both"/>
            </w:pPr>
            <w:r>
              <w:rPr>
                <w:rFonts w:ascii="Times New Roman"/>
                <w:b w:val="false"/>
                <w:i w:val="false"/>
                <w:color w:val="000000"/>
                <w:sz w:val="20"/>
              </w:rPr>
              <w:t>
— — — Grappa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with a capacity of more than 2 litres:</w:t>
            </w:r>
          </w:p>
          <w:p>
            <w:pPr>
              <w:spacing w:after="20"/>
              <w:ind w:left="20"/>
              <w:jc w:val="both"/>
            </w:pPr>
            <w:r>
              <w:rPr>
                <w:rFonts w:ascii="Times New Roman"/>
                <w:b w:val="false"/>
                <w:i w:val="false"/>
                <w:color w:val="000000"/>
                <w:sz w:val="20"/>
              </w:rPr>
              <w:t>
— — — raw distillates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Grappa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alcoholic tinctures obtained from the distillation of grape wine or grape pressings:</w:t>
            </w:r>
          </w:p>
          <w:p>
            <w:pPr>
              <w:spacing w:after="20"/>
              <w:ind w:left="20"/>
              <w:jc w:val="both"/>
            </w:pPr>
            <w:r>
              <w:rPr>
                <w:rFonts w:ascii="Times New Roman"/>
                <w:b w:val="false"/>
                <w:i w:val="false"/>
                <w:color w:val="000000"/>
                <w:sz w:val="20"/>
              </w:rPr>
              <w:t>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Bourbon whiskey, in receptacles:</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Bourbon whiskey, in receptacles:</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single malt whisky:</w:t>
            </w:r>
          </w:p>
          <w:p>
            <w:pPr>
              <w:spacing w:after="20"/>
              <w:ind w:left="20"/>
              <w:jc w:val="both"/>
            </w:pPr>
            <w:r>
              <w:rPr>
                <w:rFonts w:ascii="Times New Roman"/>
                <w:b w:val="false"/>
                <w:i w:val="false"/>
                <w:color w:val="000000"/>
                <w:sz w:val="20"/>
              </w:rPr>
              <w:t>
— — — — in receptacles of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single malt whisky:</w:t>
            </w:r>
          </w:p>
          <w:p>
            <w:pPr>
              <w:spacing w:after="20"/>
              <w:ind w:left="20"/>
              <w:jc w:val="both"/>
            </w:pPr>
            <w:r>
              <w:rPr>
                <w:rFonts w:ascii="Times New Roman"/>
                <w:b w:val="false"/>
                <w:i w:val="false"/>
                <w:color w:val="000000"/>
                <w:sz w:val="20"/>
              </w:rPr>
              <w:t>
— — — — in receptacles with a capacity of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blended malt whisky, in receptacles with a capacity of:</w:t>
            </w:r>
          </w:p>
          <w:p>
            <w:pPr>
              <w:spacing w:after="20"/>
              <w:ind w:left="20"/>
              <w:jc w:val="both"/>
            </w:pPr>
            <w:r>
              <w:rPr>
                <w:rFonts w:ascii="Times New Roman"/>
                <w:b w:val="false"/>
                <w:i w:val="false"/>
                <w:color w:val="000000"/>
                <w:sz w:val="20"/>
              </w:rPr>
              <w:t>
—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blended malt whisky in receptacles with a capacity of:</w:t>
            </w:r>
          </w:p>
          <w:p>
            <w:pPr>
              <w:spacing w:after="20"/>
              <w:ind w:left="20"/>
              <w:jc w:val="both"/>
            </w:pPr>
            <w:r>
              <w:rPr>
                <w:rFonts w:ascii="Times New Roman"/>
                <w:b w:val="false"/>
                <w:i w:val="false"/>
                <w:color w:val="000000"/>
                <w:sz w:val="20"/>
              </w:rPr>
              <w:t>
—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single grain whisky and blended grain whisky in receptacles with a capacity of:</w:t>
            </w:r>
          </w:p>
          <w:p>
            <w:pPr>
              <w:spacing w:after="20"/>
              <w:ind w:left="20"/>
              <w:jc w:val="both"/>
            </w:pPr>
            <w:r>
              <w:rPr>
                <w:rFonts w:ascii="Times New Roman"/>
                <w:b w:val="false"/>
                <w:i w:val="false"/>
                <w:color w:val="000000"/>
                <w:sz w:val="20"/>
              </w:rPr>
              <w:t>
—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single grain whisky and blended grain whisky in receptacles with a capacity of:</w:t>
            </w:r>
          </w:p>
          <w:p>
            <w:pPr>
              <w:spacing w:after="20"/>
              <w:ind w:left="20"/>
              <w:jc w:val="both"/>
            </w:pPr>
            <w:r>
              <w:rPr>
                <w:rFonts w:ascii="Times New Roman"/>
                <w:b w:val="false"/>
                <w:i w:val="false"/>
                <w:color w:val="000000"/>
                <w:sz w:val="20"/>
              </w:rPr>
              <w:t>
—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blended whisky, other, in receptacles with a capacity of:</w:t>
            </w:r>
          </w:p>
          <w:p>
            <w:pPr>
              <w:spacing w:after="20"/>
              <w:ind w:left="20"/>
              <w:jc w:val="both"/>
            </w:pPr>
            <w:r>
              <w:rPr>
                <w:rFonts w:ascii="Times New Roman"/>
                <w:b w:val="false"/>
                <w:i w:val="false"/>
                <w:color w:val="000000"/>
                <w:sz w:val="20"/>
              </w:rPr>
              <w:t>
—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Scotch whisky:</w:t>
            </w:r>
          </w:p>
          <w:p>
            <w:pPr>
              <w:spacing w:after="20"/>
              <w:ind w:left="20"/>
              <w:jc w:val="both"/>
            </w:pPr>
            <w:r>
              <w:rPr>
                <w:rFonts w:ascii="Times New Roman"/>
                <w:b w:val="false"/>
                <w:i w:val="false"/>
                <w:color w:val="000000"/>
                <w:sz w:val="20"/>
              </w:rPr>
              <w:t>
— — — blended whisky, other, in receptacles with a capacity of:</w:t>
            </w:r>
          </w:p>
          <w:p>
            <w:pPr>
              <w:spacing w:after="20"/>
              <w:ind w:left="20"/>
              <w:jc w:val="both"/>
            </w:pPr>
            <w:r>
              <w:rPr>
                <w:rFonts w:ascii="Times New Roman"/>
                <w:b w:val="false"/>
                <w:i w:val="false"/>
                <w:color w:val="000000"/>
                <w:sz w:val="20"/>
              </w:rPr>
              <w:t>
—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other,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whiskey:</w:t>
            </w:r>
          </w:p>
          <w:p>
            <w:pPr>
              <w:spacing w:after="20"/>
              <w:ind w:left="20"/>
              <w:jc w:val="both"/>
            </w:pPr>
            <w:r>
              <w:rPr>
                <w:rFonts w:ascii="Times New Roman"/>
                <w:b w:val="false"/>
                <w:i w:val="false"/>
                <w:color w:val="000000"/>
                <w:sz w:val="20"/>
              </w:rPr>
              <w:t>
— — other, in receptacles with a capacity of:</w:t>
            </w:r>
          </w:p>
          <w:p>
            <w:pPr>
              <w:spacing w:after="20"/>
              <w:ind w:left="20"/>
              <w:jc w:val="both"/>
            </w:pPr>
            <w:r>
              <w:rPr>
                <w:rFonts w:ascii="Times New Roman"/>
                <w:b w:val="false"/>
                <w:i w:val="false"/>
                <w:color w:val="000000"/>
                <w:sz w:val="20"/>
              </w:rPr>
              <w:t>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rum and other alcoholic tinctures obtained from the distillation of fermented sugar cane products: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rum with a volatile matter content, other than ethyl and methyl alcohol, of 225 g or more per 1 hectolitre of pure alcohol (with a tolerance of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rum and other alcoholic tinctures obtained from the distillation of fermented sugar cane products: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worth more than EUR 7.9 per 1 litre of pure alcohol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rum and other alcoholic tinctures obtained from the distillation of fermented sugar cane products:</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rum and other alcoholic tinctures obtained from the distillation of fermented sugar cane products:</w:t>
            </w:r>
          </w:p>
          <w:p>
            <w:pPr>
              <w:spacing w:after="20"/>
              <w:ind w:left="20"/>
              <w:jc w:val="both"/>
            </w:pPr>
            <w:r>
              <w:rPr>
                <w:rFonts w:ascii="Times New Roman"/>
                <w:b w:val="false"/>
                <w:i w:val="false"/>
                <w:color w:val="000000"/>
                <w:sz w:val="20"/>
              </w:rPr>
              <w:t>
— — in receptacles with a capacity of more than 2 litres:</w:t>
            </w:r>
          </w:p>
          <w:p>
            <w:pPr>
              <w:spacing w:after="20"/>
              <w:ind w:left="20"/>
              <w:jc w:val="both"/>
            </w:pPr>
            <w:r>
              <w:rPr>
                <w:rFonts w:ascii="Times New Roman"/>
                <w:b w:val="false"/>
                <w:i w:val="false"/>
                <w:color w:val="000000"/>
                <w:sz w:val="20"/>
              </w:rPr>
              <w:t>
— — — rum with a volatile matter content, other than ethyl and methyl alcohol, of 225 g or more per 1 hectolitre of pure alcohol (with a tolerance of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rum and other alcoholic tinctures obtained from the distillation of fermented sugar cane products:</w:t>
            </w:r>
          </w:p>
          <w:p>
            <w:pPr>
              <w:spacing w:after="20"/>
              <w:ind w:left="20"/>
              <w:jc w:val="both"/>
            </w:pPr>
            <w:r>
              <w:rPr>
                <w:rFonts w:ascii="Times New Roman"/>
                <w:b w:val="false"/>
                <w:i w:val="false"/>
                <w:color w:val="000000"/>
                <w:sz w:val="20"/>
              </w:rPr>
              <w:t>
— — in receptacles with a capacity of more than 2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gin and juniper tincture:</w:t>
            </w:r>
          </w:p>
          <w:p>
            <w:pPr>
              <w:spacing w:after="20"/>
              <w:ind w:left="20"/>
              <w:jc w:val="both"/>
            </w:pPr>
            <w:r>
              <w:rPr>
                <w:rFonts w:ascii="Times New Roman"/>
                <w:b w:val="false"/>
                <w:i w:val="false"/>
                <w:color w:val="000000"/>
                <w:sz w:val="20"/>
              </w:rPr>
              <w:t>
— — gin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gin and juniper tincture:</w:t>
            </w:r>
          </w:p>
          <w:p>
            <w:pPr>
              <w:spacing w:after="20"/>
              <w:ind w:left="20"/>
              <w:jc w:val="both"/>
            </w:pPr>
            <w:r>
              <w:rPr>
                <w:rFonts w:ascii="Times New Roman"/>
                <w:b w:val="false"/>
                <w:i w:val="false"/>
                <w:color w:val="000000"/>
                <w:sz w:val="20"/>
              </w:rPr>
              <w:t>
— — gin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gin and juniper tincture:</w:t>
            </w:r>
          </w:p>
          <w:p>
            <w:pPr>
              <w:spacing w:after="20"/>
              <w:ind w:left="20"/>
              <w:jc w:val="both"/>
            </w:pPr>
            <w:r>
              <w:rPr>
                <w:rFonts w:ascii="Times New Roman"/>
                <w:b w:val="false"/>
                <w:i w:val="false"/>
                <w:color w:val="000000"/>
                <w:sz w:val="20"/>
              </w:rPr>
              <w:t>
— — juniper tincture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gin and juniper tincture:</w:t>
            </w:r>
          </w:p>
          <w:p>
            <w:pPr>
              <w:spacing w:after="20"/>
              <w:ind w:left="20"/>
              <w:jc w:val="both"/>
            </w:pPr>
            <w:r>
              <w:rPr>
                <w:rFonts w:ascii="Times New Roman"/>
                <w:b w:val="false"/>
                <w:i w:val="false"/>
                <w:color w:val="000000"/>
                <w:sz w:val="20"/>
              </w:rPr>
              <w:t>
— — juniper tincture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vodka:</w:t>
            </w:r>
          </w:p>
          <w:p>
            <w:pPr>
              <w:spacing w:after="20"/>
              <w:ind w:left="20"/>
              <w:jc w:val="both"/>
            </w:pPr>
            <w:r>
              <w:rPr>
                <w:rFonts w:ascii="Times New Roman"/>
                <w:b w:val="false"/>
                <w:i w:val="false"/>
                <w:color w:val="000000"/>
                <w:sz w:val="20"/>
              </w:rPr>
              <w:t>
— — with an alcohol concentration of 45.4 volume per cent or less,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vodka:</w:t>
            </w:r>
          </w:p>
          <w:p>
            <w:pPr>
              <w:spacing w:after="20"/>
              <w:ind w:left="20"/>
              <w:jc w:val="both"/>
            </w:pPr>
            <w:r>
              <w:rPr>
                <w:rFonts w:ascii="Times New Roman"/>
                <w:b w:val="false"/>
                <w:i w:val="false"/>
                <w:color w:val="000000"/>
                <w:sz w:val="20"/>
              </w:rPr>
              <w:t>
— — with an alcohol concentration of 45.4 volume per cent or less,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vodka:</w:t>
            </w:r>
          </w:p>
          <w:p>
            <w:pPr>
              <w:spacing w:after="20"/>
              <w:ind w:left="20"/>
              <w:jc w:val="both"/>
            </w:pPr>
            <w:r>
              <w:rPr>
                <w:rFonts w:ascii="Times New Roman"/>
                <w:b w:val="false"/>
                <w:i w:val="false"/>
                <w:color w:val="000000"/>
                <w:sz w:val="20"/>
              </w:rPr>
              <w:t>
— — with an alcohol concentration of more than 45.4 volume per cent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vodka:</w:t>
            </w:r>
          </w:p>
          <w:p>
            <w:pPr>
              <w:spacing w:after="20"/>
              <w:ind w:left="20"/>
              <w:jc w:val="both"/>
            </w:pPr>
            <w:r>
              <w:rPr>
                <w:rFonts w:ascii="Times New Roman"/>
                <w:b w:val="false"/>
                <w:i w:val="false"/>
                <w:color w:val="000000"/>
                <w:sz w:val="20"/>
              </w:rPr>
              <w:t>
— — with an alcohol concentration of more than 45.4 volume per cent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liqueurs:</w:t>
            </w:r>
          </w:p>
          <w:p>
            <w:pPr>
              <w:spacing w:after="20"/>
              <w:ind w:left="20"/>
              <w:jc w:val="both"/>
            </w:pPr>
            <w:r>
              <w:rPr>
                <w:rFonts w:ascii="Times New Roman"/>
                <w:b w:val="false"/>
                <w:i w:val="false"/>
                <w:color w:val="000000"/>
                <w:sz w:val="20"/>
              </w:rPr>
              <w:t>
— — in receptacles of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liqueurs:</w:t>
            </w:r>
          </w:p>
          <w:p>
            <w:pPr>
              <w:spacing w:after="20"/>
              <w:ind w:left="20"/>
              <w:jc w:val="both"/>
            </w:pPr>
            <w:r>
              <w:rPr>
                <w:rFonts w:ascii="Times New Roman"/>
                <w:b w:val="false"/>
                <w:i w:val="false"/>
                <w:color w:val="000000"/>
                <w:sz w:val="20"/>
              </w:rPr>
              <w:t>
— — in receptacles with a capacity of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arrack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arrack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plum, pear or cherry alcoholic tincture (excluding liqueurs),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plum, pear or cherry alcoholic tincture (excluding liqueurs),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ouzo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distilled from fruit:</w:t>
            </w:r>
          </w:p>
          <w:p>
            <w:pPr>
              <w:spacing w:after="20"/>
              <w:ind w:left="20"/>
              <w:jc w:val="both"/>
            </w:pPr>
            <w:r>
              <w:rPr>
                <w:rFonts w:ascii="Times New Roman"/>
                <w:b w:val="false"/>
                <w:i w:val="false"/>
                <w:color w:val="000000"/>
                <w:sz w:val="20"/>
              </w:rPr>
              <w:t>
— — — — — — — calvados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distilled from fruit:</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tequila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Mezcal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shochu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tinctures (excluding liqueurs):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beverages, others:</w:t>
            </w:r>
          </w:p>
          <w:p>
            <w:pPr>
              <w:spacing w:after="20"/>
              <w:ind w:left="20"/>
              <w:jc w:val="both"/>
            </w:pPr>
            <w:r>
              <w:rPr>
                <w:rFonts w:ascii="Times New Roman"/>
                <w:b w:val="false"/>
                <w:i w:val="false"/>
                <w:color w:val="000000"/>
                <w:sz w:val="20"/>
              </w:rPr>
              <w:t>
— — — — — — with an actual alcohol concentration not exceeding 7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alcoholic beverages, others: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tinctures (excluding liqueurs):</w:t>
            </w:r>
          </w:p>
          <w:p>
            <w:pPr>
              <w:spacing w:after="20"/>
              <w:ind w:left="20"/>
              <w:jc w:val="both"/>
            </w:pPr>
            <w:r>
              <w:rPr>
                <w:rFonts w:ascii="Times New Roman"/>
                <w:b w:val="false"/>
                <w:i w:val="false"/>
                <w:color w:val="000000"/>
                <w:sz w:val="20"/>
              </w:rPr>
              <w:t>
— — — — — distilled from fruit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tinctures (excluding liqueurs):</w:t>
            </w:r>
          </w:p>
          <w:p>
            <w:pPr>
              <w:spacing w:after="20"/>
              <w:ind w:left="20"/>
              <w:jc w:val="both"/>
            </w:pPr>
            <w:r>
              <w:rPr>
                <w:rFonts w:ascii="Times New Roman"/>
                <w:b w:val="false"/>
                <w:i w:val="false"/>
                <w:color w:val="000000"/>
                <w:sz w:val="20"/>
              </w:rPr>
              <w:t>
— — — — — tequila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tinctures (excluding liqueurs):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Mezcal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tinctures (excluding liqueurs):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shochu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tinctures (excluding liqueurs):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beverages, others:</w:t>
            </w:r>
          </w:p>
          <w:p>
            <w:pPr>
              <w:spacing w:after="20"/>
              <w:ind w:left="20"/>
              <w:jc w:val="both"/>
            </w:pPr>
            <w:r>
              <w:rPr>
                <w:rFonts w:ascii="Times New Roman"/>
                <w:b w:val="false"/>
                <w:i w:val="false"/>
                <w:color w:val="000000"/>
                <w:sz w:val="20"/>
              </w:rPr>
              <w:t>
— — — — — with an actual alcohol concentration not exceeding 7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alcoholic tinctures other and alcoholic beverages, other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alcoholic beverages, others:</w:t>
            </w:r>
          </w:p>
          <w:p>
            <w:pPr>
              <w:spacing w:after="20"/>
              <w:ind w:left="20"/>
              <w:jc w:val="both"/>
            </w:pPr>
            <w:r>
              <w:rPr>
                <w:rFonts w:ascii="Times New Roman"/>
                <w:b w:val="false"/>
                <w:i w:val="false"/>
                <w:color w:val="000000"/>
                <w:sz w:val="20"/>
              </w:rPr>
              <w:t>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undenatured ethyl alcohol with an alcohol concentration of less than 80 volume per cent in receptacles with a capacity of:</w:t>
            </w:r>
          </w:p>
          <w:p>
            <w:pPr>
              <w:spacing w:after="20"/>
              <w:ind w:left="20"/>
              <w:jc w:val="both"/>
            </w:pPr>
            <w:r>
              <w:rPr>
                <w:rFonts w:ascii="Times New Roman"/>
                <w:b w:val="false"/>
                <w:i w:val="false"/>
                <w:color w:val="000000"/>
                <w:sz w:val="20"/>
              </w:rPr>
              <w:t>
— — — 2 litres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alcohol concentration less than 80 volume per cent; alcohol tinctures, liqueurs and other alcoholic beverages: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undenatured ethyl alcohol with an alcohol concentration of less than 80 volume per cent in receptacles with a capacity of:</w:t>
            </w:r>
          </w:p>
          <w:p>
            <w:pPr>
              <w:spacing w:after="20"/>
              <w:ind w:left="20"/>
              <w:jc w:val="both"/>
            </w:pPr>
            <w:r>
              <w:rPr>
                <w:rFonts w:ascii="Times New Roman"/>
                <w:b w:val="false"/>
                <w:i w:val="false"/>
                <w:color w:val="000000"/>
                <w:sz w:val="20"/>
              </w:rPr>
              <w:t>
— — — more than 2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designation of origin (PDO):</w:t>
            </w:r>
          </w:p>
          <w:p>
            <w:pPr>
              <w:spacing w:after="20"/>
              <w:ind w:left="20"/>
              <w:jc w:val="both"/>
            </w:pPr>
            <w:r>
              <w:rPr>
                <w:rFonts w:ascii="Times New Roman"/>
                <w:b w:val="false"/>
                <w:i w:val="false"/>
                <w:color w:val="000000"/>
                <w:sz w:val="20"/>
              </w:rPr>
              <w:t>
— — — champagne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designation of origin (PDO):</w:t>
            </w:r>
          </w:p>
          <w:p>
            <w:pPr>
              <w:spacing w:after="20"/>
              <w:ind w:left="20"/>
              <w:jc w:val="both"/>
            </w:pPr>
            <w:r>
              <w:rPr>
                <w:rFonts w:ascii="Times New Roman"/>
                <w:b w:val="false"/>
                <w:i w:val="false"/>
                <w:color w:val="000000"/>
                <w:sz w:val="20"/>
              </w:rPr>
              <w:t>
— — — Asti Spumante.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designation of origin (PDO):</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with an actual alcohol concentration of at least 8.5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designation of origin (PDO):</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Geographical Indication (PGI):</w:t>
            </w:r>
          </w:p>
          <w:p>
            <w:pPr>
              <w:spacing w:after="20"/>
              <w:ind w:left="20"/>
              <w:jc w:val="both"/>
            </w:pPr>
            <w:r>
              <w:rPr>
                <w:rFonts w:ascii="Times New Roman"/>
                <w:b w:val="false"/>
                <w:i w:val="false"/>
                <w:color w:val="000000"/>
                <w:sz w:val="20"/>
              </w:rPr>
              <w:t>
— — — with an actual alcohol concentration of at least 8.5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with Protected Geographical Indication (PGI):</w:t>
            </w:r>
          </w:p>
          <w:p>
            <w:pPr>
              <w:spacing w:after="20"/>
              <w:ind w:left="20"/>
              <w:jc w:val="both"/>
            </w:pPr>
            <w:r>
              <w:rPr>
                <w:rFonts w:ascii="Times New Roman"/>
                <w:b w:val="false"/>
                <w:i w:val="false"/>
                <w:color w:val="000000"/>
                <w:sz w:val="20"/>
              </w:rPr>
              <w:t>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other varietal wines:</w:t>
            </w:r>
          </w:p>
          <w:p>
            <w:pPr>
              <w:spacing w:after="20"/>
              <w:ind w:left="20"/>
              <w:jc w:val="both"/>
            </w:pPr>
            <w:r>
              <w:rPr>
                <w:rFonts w:ascii="Times New Roman"/>
                <w:b w:val="false"/>
                <w:i w:val="false"/>
                <w:color w:val="000000"/>
                <w:sz w:val="20"/>
              </w:rPr>
              <w:t>
— — — with an actual alcohol concentration of at least 8.5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other varietal wines:</w:t>
            </w:r>
          </w:p>
          <w:p>
            <w:pPr>
              <w:spacing w:after="20"/>
              <w:ind w:left="20"/>
              <w:jc w:val="both"/>
            </w:pPr>
            <w:r>
              <w:rPr>
                <w:rFonts w:ascii="Times New Roman"/>
                <w:b w:val="false"/>
                <w:i w:val="false"/>
                <w:color w:val="000000"/>
                <w:sz w:val="20"/>
              </w:rPr>
              <w:t>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with an actual alcohol concentration of at least 8.5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sparkling wines: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p>
            <w:pPr>
              <w:spacing w:after="20"/>
              <w:ind w:left="20"/>
              <w:jc w:val="both"/>
            </w:pPr>
            <w:r>
              <w:rPr>
                <w:rFonts w:ascii="Times New Roman"/>
                <w:b w:val="false"/>
                <w:i w:val="false"/>
                <w:color w:val="000000"/>
                <w:sz w:val="20"/>
              </w:rPr>
              <w:t>
— — — — with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p>
            <w:pPr>
              <w:spacing w:after="20"/>
              <w:ind w:left="20"/>
              <w:jc w:val="both"/>
            </w:pPr>
            <w:r>
              <w:rPr>
                <w:rFonts w:ascii="Times New Roman"/>
                <w:b w:val="false"/>
                <w:i w:val="false"/>
                <w:color w:val="000000"/>
                <w:sz w:val="20"/>
              </w:rPr>
              <w:t>
— — — — with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p>
            <w:pPr>
              <w:spacing w:after="20"/>
              <w:ind w:left="20"/>
              <w:jc w:val="both"/>
            </w:pPr>
            <w:r>
              <w:rPr>
                <w:rFonts w:ascii="Times New Roman"/>
                <w:b w:val="false"/>
                <w:i w:val="false"/>
                <w:color w:val="000000"/>
                <w:sz w:val="20"/>
              </w:rPr>
              <w:t>
— — — — other varietal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Alsace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of wine,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Burgundy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Val de Loire (Loire Valley)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Moselle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Pfalz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Rheinhessen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Tokaj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Lazio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Toscana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Trentino, Alto Adige and Friuli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Veneto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Vinho Verde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Penedès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Rioja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Valencia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Burgundy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Beaujolais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Valais-du-Rhône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Languedoc-Roussillon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 de Loire (Loire Valley)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Piedmont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Toscana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Trentino and Alto Adige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Veneto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Dao, Berrada and Duro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Navarre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Penedès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Rioja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Valdepenias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Madera and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sherry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marsala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Samos and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port wine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22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of 2 litres or less: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Tokaj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Burgundy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Val de Loire (Loire Valley)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Burgundy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Beaujolais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Valais-du-Rhône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Languedoc-Roussillon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 de Loire (Loire Valley)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Madera and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sherry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marsala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Samos and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port wine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22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white wines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white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in receptacles with a capacity of more than 2 litres but not more than 10 litres: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wine, except as listed in sub-item 2204 10, in bottles with mushroom-shaped corks held by ties or fasteners; wine in other receptacles with an overpressure due to carbon dioxide in the drink of at least 1 bar but less than 3 bar at 20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Tokaj:</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Tokaj:</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Bordeaux:</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Bordeaux:</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Burgundy:</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Burgundy:</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Val de Loire (Loire Valley):</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Val de Loire (Loire Valley):</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Bordeaux:</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Bordeaux:</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Burgundy:</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Burgundy:</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Beaujolais:</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Beaujolais:</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Valais-du-Rhône:</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Valais-du-Rhône:</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Languedoc-Roussillon:</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Languedoc-Roussillon:</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 de Loire (Loire Valley):</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Val de Loire (Loire Valley):</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p>
            <w:pPr>
              <w:spacing w:after="20"/>
              <w:ind w:left="20"/>
              <w:jc w:val="both"/>
            </w:pPr>
            <w:r>
              <w:rPr>
                <w:rFonts w:ascii="Times New Roman"/>
                <w:b w:val="false"/>
                <w:i w:val="false"/>
                <w:color w:val="000000"/>
                <w:sz w:val="20"/>
              </w:rPr>
              <w:t>
—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designation of origin (PDO):</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wines with Protected Geographical Indication (PGI):</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 varietal wines: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white wines: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not exceeding 15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madera and Setubal Muscatel:</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madera and Setubal Muscatel:</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sherry:</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sherry:</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marsala:</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marsala:</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Samos and Muscat de Lemnos: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Samos and Muscat de Lemnos: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port wine:</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port wine:</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wines with Protected Designation of Origin (PDO) or with Protected Geographical Indication (PGI):</w:t>
            </w:r>
          </w:p>
          <w:p>
            <w:pPr>
              <w:spacing w:after="20"/>
              <w:ind w:left="20"/>
              <w:jc w:val="both"/>
            </w:pPr>
            <w:r>
              <w:rPr>
                <w:rFonts w:ascii="Times New Roman"/>
                <w:b w:val="false"/>
                <w:i w:val="false"/>
                <w:color w:val="000000"/>
                <w:sz w:val="20"/>
              </w:rPr>
              <w:t>
— — — — — — — others:</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15 volume per cent but not more than 22 volume per cent:</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22 volume per cent:</w:t>
            </w:r>
          </w:p>
          <w:p>
            <w:pPr>
              <w:spacing w:after="20"/>
              <w:ind w:left="20"/>
              <w:jc w:val="both"/>
            </w:pPr>
            <w:r>
              <w:rPr>
                <w:rFonts w:ascii="Times New Roman"/>
                <w:b w:val="false"/>
                <w:i w:val="false"/>
                <w:color w:val="000000"/>
                <w:sz w:val="20"/>
              </w:rPr>
              <w:t>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produced in the European Union:</w:t>
            </w:r>
          </w:p>
          <w:p>
            <w:pPr>
              <w:spacing w:after="20"/>
              <w:ind w:left="20"/>
              <w:jc w:val="both"/>
            </w:pPr>
            <w:r>
              <w:rPr>
                <w:rFonts w:ascii="Times New Roman"/>
                <w:b w:val="false"/>
                <w:i w:val="false"/>
                <w:color w:val="000000"/>
                <w:sz w:val="20"/>
              </w:rPr>
              <w:t>
— — — — — with an actual alcohol concentration of more than 22 volume per cent:</w:t>
            </w:r>
          </w:p>
          <w:p>
            <w:pPr>
              <w:spacing w:after="20"/>
              <w:ind w:left="20"/>
              <w:jc w:val="both"/>
            </w:pPr>
            <w:r>
              <w:rPr>
                <w:rFonts w:ascii="Times New Roman"/>
                <w:b w:val="false"/>
                <w:i w:val="false"/>
                <w:color w:val="000000"/>
                <w:sz w:val="20"/>
              </w:rPr>
              <w:t>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wines with Protected Designation of Origin (PDO) or with Protected Geographical Indication (PGI):</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 varietal wines: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white wines: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in containers with a capacity of 227 litres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wines; grape must, the fermentation of which has been prevented or suspended by the addition of alcohol:</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p>
            <w:pPr>
              <w:spacing w:after="20"/>
              <w:ind w:left="20"/>
              <w:jc w:val="both"/>
            </w:pPr>
            <w:r>
              <w:rPr>
                <w:rFonts w:ascii="Times New Roman"/>
                <w:b w:val="false"/>
                <w:i w:val="false"/>
                <w:color w:val="000000"/>
                <w:sz w:val="20"/>
              </w:rPr>
              <w:t>
— — — — — — others:</w:t>
            </w:r>
          </w:p>
          <w:p>
            <w:pPr>
              <w:spacing w:after="20"/>
              <w:ind w:left="20"/>
              <w:jc w:val="both"/>
            </w:pPr>
            <w:r>
              <w:rPr>
                <w:rFonts w:ascii="Times New Roman"/>
                <w:b w:val="false"/>
                <w:i w:val="false"/>
                <w:color w:val="000000"/>
                <w:sz w:val="20"/>
              </w:rPr>
              <w:t>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grape must:</w:t>
            </w:r>
          </w:p>
          <w:p>
            <w:pPr>
              <w:spacing w:after="20"/>
              <w:ind w:left="20"/>
              <w:jc w:val="both"/>
            </w:pPr>
            <w:r>
              <w:rPr>
                <w:rFonts w:ascii="Times New Roman"/>
                <w:b w:val="false"/>
                <w:i w:val="false"/>
                <w:color w:val="000000"/>
                <w:sz w:val="20"/>
              </w:rPr>
              <w:t>
— — during fermentation or with fermentation suspended by a method other than the addition of alcohol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grape must:</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with a density of 1.33 g/cm3 or less at 20 °C and an actual alcohol concentration of not exceeding 1 volume per cent:</w:t>
            </w:r>
          </w:p>
          <w:p>
            <w:pPr>
              <w:spacing w:after="20"/>
              <w:ind w:left="20"/>
              <w:jc w:val="both"/>
            </w:pPr>
            <w:r>
              <w:rPr>
                <w:rFonts w:ascii="Times New Roman"/>
                <w:b w:val="false"/>
                <w:i w:val="false"/>
                <w:color w:val="000000"/>
                <w:sz w:val="20"/>
              </w:rPr>
              <w:t>
— — — — concentrated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grape must:</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with a density of 1.33 g/cm3 or less at 20 °C and an actual alcohol concentration of not exceeding 1 volume per cent:</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grape must:</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concentrated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wines including fortified wines; grape must other than those specified in heading 2009:</w:t>
            </w:r>
          </w:p>
          <w:p>
            <w:pPr>
              <w:spacing w:after="20"/>
              <w:ind w:left="20"/>
              <w:jc w:val="both"/>
            </w:pPr>
            <w:r>
              <w:rPr>
                <w:rFonts w:ascii="Times New Roman"/>
                <w:b w:val="false"/>
                <w:i w:val="false"/>
                <w:color w:val="000000"/>
                <w:sz w:val="20"/>
              </w:rPr>
              <w:t>
— other grape must:</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piquette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sparkling ones:</w:t>
            </w:r>
          </w:p>
          <w:p>
            <w:pPr>
              <w:spacing w:after="20"/>
              <w:ind w:left="20"/>
              <w:jc w:val="both"/>
            </w:pPr>
            <w:r>
              <w:rPr>
                <w:rFonts w:ascii="Times New Roman"/>
                <w:b w:val="false"/>
                <w:i w:val="false"/>
                <w:color w:val="000000"/>
                <w:sz w:val="20"/>
              </w:rPr>
              <w:t>
— — — cider and pear cider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sparkling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with an actual alcohol concentration not exceeding 7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sparkling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non-sparkling ones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cider and pear cider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non-sparkling ones in receptacles with a capacity of:</w:t>
            </w:r>
          </w:p>
          <w:p>
            <w:pPr>
              <w:spacing w:after="20"/>
              <w:ind w:left="20"/>
              <w:jc w:val="both"/>
            </w:pPr>
            <w:r>
              <w:rPr>
                <w:rFonts w:ascii="Times New Roman"/>
                <w:b w:val="false"/>
                <w:i w:val="false"/>
                <w:color w:val="000000"/>
                <w:sz w:val="20"/>
              </w:rPr>
              <w:t>
— — — 2 litres or less: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non-sparkling ones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cider and pear cider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non-sparkling ones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with an actual alcohol concentration not exceeding 7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fermented beverages (e.g. cider, pear cider, honey drink, sake); mixtures of fermented beverages, mixtures of fermented beverages and soft drinks not elsewhere named or included:</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non-sparkling ones in receptacles with a capacity of:</w:t>
            </w:r>
          </w:p>
          <w:p>
            <w:pPr>
              <w:spacing w:after="20"/>
              <w:ind w:left="20"/>
              <w:jc w:val="both"/>
            </w:pPr>
            <w:r>
              <w:rPr>
                <w:rFonts w:ascii="Times New Roman"/>
                <w:b w:val="false"/>
                <w:i w:val="false"/>
                <w:color w:val="000000"/>
                <w:sz w:val="20"/>
              </w:rPr>
              <w:t>
— — — more than 2 litres: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Vermouths and grape natural wines, others with the addition of vegetable or aromatic substances:</w:t>
            </w:r>
          </w:p>
          <w:p>
            <w:pPr>
              <w:spacing w:after="20"/>
              <w:ind w:left="20"/>
              <w:jc w:val="both"/>
            </w:pPr>
            <w:r>
              <w:rPr>
                <w:rFonts w:ascii="Times New Roman"/>
                <w:b w:val="false"/>
                <w:i w:val="false"/>
                <w:color w:val="000000"/>
                <w:sz w:val="20"/>
              </w:rPr>
              <w:t>
— in receptacles of 2 litres or less:</w:t>
            </w:r>
          </w:p>
          <w:p>
            <w:pPr>
              <w:spacing w:after="20"/>
              <w:ind w:left="20"/>
              <w:jc w:val="both"/>
            </w:pPr>
            <w:r>
              <w:rPr>
                <w:rFonts w:ascii="Times New Roman"/>
                <w:b w:val="false"/>
                <w:i w:val="false"/>
                <w:color w:val="000000"/>
                <w:sz w:val="20"/>
              </w:rPr>
              <w:t>
— — with an actual alcohol concentration of 18 volume per cent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Vermouths and grape natural wines, others with the addition of vegetable or aromatic substances:</w:t>
            </w:r>
          </w:p>
          <w:p>
            <w:pPr>
              <w:spacing w:after="20"/>
              <w:ind w:left="20"/>
              <w:jc w:val="both"/>
            </w:pPr>
            <w:r>
              <w:rPr>
                <w:rFonts w:ascii="Times New Roman"/>
                <w:b w:val="false"/>
                <w:i w:val="false"/>
                <w:color w:val="000000"/>
                <w:sz w:val="20"/>
              </w:rPr>
              <w:t>
— in receptacles of 2 litres or less:</w:t>
            </w:r>
          </w:p>
          <w:p>
            <w:pPr>
              <w:spacing w:after="20"/>
              <w:ind w:left="20"/>
              <w:jc w:val="both"/>
            </w:pPr>
            <w:r>
              <w:rPr>
                <w:rFonts w:ascii="Times New Roman"/>
                <w:b w:val="false"/>
                <w:i w:val="false"/>
                <w:color w:val="000000"/>
                <w:sz w:val="20"/>
              </w:rPr>
              <w:t>
— — with an actual alcohol concentration of more than 18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Vermouths and grape natural wines, others with the addition of vegetable or aromatic substances: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with an actual alcohol concentration of 18 volume per cent or less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Vermouths and grape natural wines, others with the addition of vegetable or aromatic substances:</w:t>
            </w:r>
          </w:p>
          <w:p>
            <w:pPr>
              <w:spacing w:after="20"/>
              <w:ind w:left="20"/>
              <w:jc w:val="both"/>
            </w:pPr>
            <w:r>
              <w:rPr>
                <w:rFonts w:ascii="Times New Roman"/>
                <w:b w:val="false"/>
                <w:i w:val="false"/>
                <w:color w:val="000000"/>
                <w:sz w:val="20"/>
              </w:rPr>
              <w:t>
— others:</w:t>
            </w:r>
          </w:p>
          <w:p>
            <w:pPr>
              <w:spacing w:after="20"/>
              <w:ind w:left="20"/>
              <w:jc w:val="both"/>
            </w:pPr>
            <w:r>
              <w:rPr>
                <w:rFonts w:ascii="Times New Roman"/>
                <w:b w:val="false"/>
                <w:i w:val="false"/>
                <w:color w:val="000000"/>
                <w:sz w:val="20"/>
              </w:rPr>
              <w:t>
— — with an actual alcohol concentration of more than 18 volume per 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 beer:</w:t>
            </w:r>
          </w:p>
          <w:p>
            <w:pPr>
              <w:spacing w:after="20"/>
              <w:ind w:left="20"/>
              <w:jc w:val="both"/>
            </w:pPr>
            <w:r>
              <w:rPr>
                <w:rFonts w:ascii="Times New Roman"/>
                <w:b w:val="false"/>
                <w:i w:val="false"/>
                <w:color w:val="000000"/>
                <w:sz w:val="20"/>
              </w:rPr>
              <w:t>
— in receptacles with a capacity of 10 litres or less:</w:t>
            </w:r>
          </w:p>
          <w:p>
            <w:pPr>
              <w:spacing w:after="20"/>
              <w:ind w:left="20"/>
              <w:jc w:val="both"/>
            </w:pPr>
            <w:r>
              <w:rPr>
                <w:rFonts w:ascii="Times New Roman"/>
                <w:b w:val="false"/>
                <w:i w:val="false"/>
                <w:color w:val="000000"/>
                <w:sz w:val="20"/>
              </w:rPr>
              <w:t>
— — in bottles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 beer:</w:t>
            </w:r>
          </w:p>
          <w:p>
            <w:pPr>
              <w:spacing w:after="20"/>
              <w:ind w:left="20"/>
              <w:jc w:val="both"/>
            </w:pPr>
            <w:r>
              <w:rPr>
                <w:rFonts w:ascii="Times New Roman"/>
                <w:b w:val="false"/>
                <w:i w:val="false"/>
                <w:color w:val="000000"/>
                <w:sz w:val="20"/>
              </w:rPr>
              <w:t>
— in receptacles with a capacity of 10 litres or less:</w:t>
            </w:r>
          </w:p>
          <w:p>
            <w:pPr>
              <w:spacing w:after="20"/>
              <w:ind w:left="20"/>
              <w:jc w:val="both"/>
            </w:pPr>
            <w:r>
              <w:rPr>
                <w:rFonts w:ascii="Times New Roman"/>
                <w:b w:val="false"/>
                <w:i w:val="false"/>
                <w:color w:val="000000"/>
                <w:sz w:val="20"/>
              </w:rPr>
              <w:t>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 beer:</w:t>
            </w:r>
          </w:p>
          <w:p>
            <w:pPr>
              <w:spacing w:after="20"/>
              <w:ind w:left="20"/>
              <w:jc w:val="both"/>
            </w:pPr>
            <w:r>
              <w:rPr>
                <w:rFonts w:ascii="Times New Roman"/>
                <w:b w:val="false"/>
                <w:i w:val="false"/>
                <w:color w:val="000000"/>
                <w:sz w:val="20"/>
              </w:rPr>
              <w:t>
— in receptacles with a capacity of more than 10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octane number less than 95 (by research method):</w:t>
            </w:r>
          </w:p>
          <w:p>
            <w:pPr>
              <w:spacing w:after="20"/>
              <w:ind w:left="20"/>
              <w:jc w:val="both"/>
            </w:pPr>
            <w:r>
              <w:rPr>
                <w:rFonts w:ascii="Times New Roman"/>
                <w:b w:val="false"/>
                <w:i w:val="false"/>
                <w:color w:val="000000"/>
                <w:sz w:val="20"/>
              </w:rPr>
              <w:t>
— — — — — — — — — motor gasoline</w:t>
            </w:r>
          </w:p>
          <w:p>
            <w:pPr>
              <w:spacing w:after="20"/>
              <w:ind w:left="20"/>
              <w:jc w:val="both"/>
            </w:pPr>
            <w:r>
              <w:rPr>
                <w:rFonts w:ascii="Times New Roman"/>
                <w:b w:val="false"/>
                <w:i w:val="false"/>
                <w:color w:val="000000"/>
                <w:sz w:val="20"/>
              </w:rPr>
              <w:t>
— — — — — — — — — — with octane number less than 80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octane number less than 95 (by research method):</w:t>
            </w:r>
          </w:p>
          <w:p>
            <w:pPr>
              <w:spacing w:after="20"/>
              <w:ind w:left="20"/>
              <w:jc w:val="both"/>
            </w:pPr>
            <w:r>
              <w:rPr>
                <w:rFonts w:ascii="Times New Roman"/>
                <w:b w:val="false"/>
                <w:i w:val="false"/>
                <w:color w:val="000000"/>
                <w:sz w:val="20"/>
              </w:rPr>
              <w:t>
— — — — — — — — — motor gasoline</w:t>
            </w:r>
          </w:p>
          <w:p>
            <w:pPr>
              <w:spacing w:after="20"/>
              <w:ind w:left="20"/>
              <w:jc w:val="both"/>
            </w:pPr>
            <w:r>
              <w:rPr>
                <w:rFonts w:ascii="Times New Roman"/>
                <w:b w:val="false"/>
                <w:i w:val="false"/>
                <w:color w:val="000000"/>
                <w:sz w:val="20"/>
              </w:rPr>
              <w:t>
— — — — — — — — — — with an octane rating of 80 or more but less than 92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octane number less than 95 (by research method):</w:t>
            </w:r>
          </w:p>
          <w:p>
            <w:pPr>
              <w:spacing w:after="20"/>
              <w:ind w:left="20"/>
              <w:jc w:val="both"/>
            </w:pPr>
            <w:r>
              <w:rPr>
                <w:rFonts w:ascii="Times New Roman"/>
                <w:b w:val="false"/>
                <w:i w:val="false"/>
                <w:color w:val="000000"/>
                <w:sz w:val="20"/>
              </w:rPr>
              <w:t>
— — — — — — — — — motor gasoline</w:t>
            </w:r>
          </w:p>
          <w:p>
            <w:pPr>
              <w:spacing w:after="20"/>
              <w:ind w:left="20"/>
              <w:jc w:val="both"/>
            </w:pPr>
            <w:r>
              <w:rPr>
                <w:rFonts w:ascii="Times New Roman"/>
                <w:b w:val="false"/>
                <w:i w:val="false"/>
                <w:color w:val="000000"/>
                <w:sz w:val="20"/>
              </w:rPr>
              <w:t>
— — — — — — — — — — with an octane rating of 92 or more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octane number less than 95 (by research method):</w:t>
            </w:r>
          </w:p>
          <w:p>
            <w:pPr>
              <w:spacing w:after="20"/>
              <w:ind w:left="20"/>
              <w:jc w:val="both"/>
            </w:pPr>
            <w:r>
              <w:rPr>
                <w:rFonts w:ascii="Times New Roman"/>
                <w:b w:val="false"/>
                <w:i w:val="false"/>
                <w:color w:val="000000"/>
                <w:sz w:val="20"/>
              </w:rPr>
              <w:t>
—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an octane rating of 95 or more but less than 98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not exceeding 0.013 g/litre:</w:t>
            </w:r>
          </w:p>
          <w:p>
            <w:pPr>
              <w:spacing w:after="20"/>
              <w:ind w:left="20"/>
              <w:jc w:val="both"/>
            </w:pPr>
            <w:r>
              <w:rPr>
                <w:rFonts w:ascii="Times New Roman"/>
                <w:b w:val="false"/>
                <w:i w:val="false"/>
                <w:color w:val="000000"/>
                <w:sz w:val="20"/>
              </w:rPr>
              <w:t>
— — — — — — — — with an octane rating of 98 or more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more than 0.013 g/l:</w:t>
            </w:r>
          </w:p>
          <w:p>
            <w:pPr>
              <w:spacing w:after="20"/>
              <w:ind w:left="20"/>
              <w:jc w:val="both"/>
            </w:pPr>
            <w:r>
              <w:rPr>
                <w:rFonts w:ascii="Times New Roman"/>
                <w:b w:val="false"/>
                <w:i w:val="false"/>
                <w:color w:val="000000"/>
                <w:sz w:val="20"/>
              </w:rPr>
              <w:t>
— — — — — — — — with octane number less than 98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light distillates and products: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others:</w:t>
            </w:r>
          </w:p>
          <w:p>
            <w:pPr>
              <w:spacing w:after="20"/>
              <w:ind w:left="20"/>
              <w:jc w:val="both"/>
            </w:pPr>
            <w:r>
              <w:rPr>
                <w:rFonts w:ascii="Times New Roman"/>
                <w:b w:val="false"/>
                <w:i w:val="false"/>
                <w:color w:val="000000"/>
                <w:sz w:val="20"/>
              </w:rPr>
              <w:t>
— — — — — motor petrols:</w:t>
            </w:r>
          </w:p>
          <w:p>
            <w:pPr>
              <w:spacing w:after="20"/>
              <w:ind w:left="20"/>
              <w:jc w:val="both"/>
            </w:pPr>
            <w:r>
              <w:rPr>
                <w:rFonts w:ascii="Times New Roman"/>
                <w:b w:val="false"/>
                <w:i w:val="false"/>
                <w:color w:val="000000"/>
                <w:sz w:val="20"/>
              </w:rPr>
              <w:t>
— — — — — — others containing lead:</w:t>
            </w:r>
          </w:p>
          <w:p>
            <w:pPr>
              <w:spacing w:after="20"/>
              <w:ind w:left="20"/>
              <w:jc w:val="both"/>
            </w:pPr>
            <w:r>
              <w:rPr>
                <w:rFonts w:ascii="Times New Roman"/>
                <w:b w:val="false"/>
                <w:i w:val="false"/>
                <w:color w:val="000000"/>
                <w:sz w:val="20"/>
              </w:rPr>
              <w:t>
— — — — — — — more than 0.013 g/l:</w:t>
            </w:r>
          </w:p>
          <w:p>
            <w:pPr>
              <w:spacing w:after="20"/>
              <w:ind w:left="20"/>
              <w:jc w:val="both"/>
            </w:pPr>
            <w:r>
              <w:rPr>
                <w:rFonts w:ascii="Times New Roman"/>
                <w:b w:val="false"/>
                <w:i w:val="false"/>
                <w:color w:val="000000"/>
                <w:sz w:val="20"/>
              </w:rPr>
              <w:t>
— — — — — — — — with an octane rating of 98 or more (by research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heavy distillates:</w:t>
            </w:r>
          </w:p>
          <w:p>
            <w:pPr>
              <w:spacing w:after="20"/>
              <w:ind w:left="20"/>
              <w:jc w:val="both"/>
            </w:pPr>
            <w:r>
              <w:rPr>
                <w:rFonts w:ascii="Times New Roman"/>
                <w:b w:val="false"/>
                <w:i w:val="false"/>
                <w:color w:val="000000"/>
                <w:sz w:val="20"/>
              </w:rPr>
              <w:t>
— — — — gas oils:</w:t>
            </w:r>
          </w:p>
          <w:p>
            <w:pPr>
              <w:spacing w:after="20"/>
              <w:ind w:left="20"/>
              <w:jc w:val="both"/>
            </w:pPr>
            <w:r>
              <w:rPr>
                <w:rFonts w:ascii="Times New Roman"/>
                <w:b w:val="false"/>
                <w:i w:val="false"/>
                <w:color w:val="000000"/>
                <w:sz w:val="20"/>
              </w:rPr>
              <w:t>
— — — — — for other purposes:</w:t>
            </w:r>
          </w:p>
          <w:p>
            <w:pPr>
              <w:spacing w:after="20"/>
              <w:ind w:left="20"/>
              <w:jc w:val="both"/>
            </w:pPr>
            <w:r>
              <w:rPr>
                <w:rFonts w:ascii="Times New Roman"/>
                <w:b w:val="false"/>
                <w:i w:val="false"/>
                <w:color w:val="000000"/>
                <w:sz w:val="20"/>
              </w:rPr>
              <w:t>
— — — — — — with sulphur content not exceeding 0.05 wt.%:</w:t>
            </w:r>
          </w:p>
          <w:p>
            <w:pPr>
              <w:spacing w:after="20"/>
              <w:ind w:left="20"/>
              <w:jc w:val="both"/>
            </w:pPr>
            <w:r>
              <w:rPr>
                <w:rFonts w:ascii="Times New Roman"/>
                <w:b w:val="false"/>
                <w:i w:val="false"/>
                <w:color w:val="000000"/>
                <w:sz w:val="20"/>
              </w:rPr>
              <w:t>
— — — — — — — diesel fuel:</w:t>
            </w:r>
          </w:p>
          <w:p>
            <w:pPr>
              <w:spacing w:after="20"/>
              <w:ind w:left="20"/>
              <w:jc w:val="both"/>
            </w:pPr>
            <w:r>
              <w:rPr>
                <w:rFonts w:ascii="Times New Roman"/>
                <w:b w:val="false"/>
                <w:i w:val="false"/>
                <w:color w:val="000000"/>
                <w:sz w:val="20"/>
              </w:rPr>
              <w:t>
— — — — — — — — summer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heavy distillates:</w:t>
            </w:r>
          </w:p>
          <w:p>
            <w:pPr>
              <w:spacing w:after="20"/>
              <w:ind w:left="20"/>
              <w:jc w:val="both"/>
            </w:pPr>
            <w:r>
              <w:rPr>
                <w:rFonts w:ascii="Times New Roman"/>
                <w:b w:val="false"/>
                <w:i w:val="false"/>
                <w:color w:val="000000"/>
                <w:sz w:val="20"/>
              </w:rPr>
              <w:t>
— — — — gas oils:</w:t>
            </w:r>
          </w:p>
          <w:p>
            <w:pPr>
              <w:spacing w:after="20"/>
              <w:ind w:left="20"/>
              <w:jc w:val="both"/>
            </w:pPr>
            <w:r>
              <w:rPr>
                <w:rFonts w:ascii="Times New Roman"/>
                <w:b w:val="false"/>
                <w:i w:val="false"/>
                <w:color w:val="000000"/>
                <w:sz w:val="20"/>
              </w:rPr>
              <w:t>
— — — — — for other purposes:</w:t>
            </w:r>
          </w:p>
          <w:p>
            <w:pPr>
              <w:spacing w:after="20"/>
              <w:ind w:left="20"/>
              <w:jc w:val="both"/>
            </w:pPr>
            <w:r>
              <w:rPr>
                <w:rFonts w:ascii="Times New Roman"/>
                <w:b w:val="false"/>
                <w:i w:val="false"/>
                <w:color w:val="000000"/>
                <w:sz w:val="20"/>
              </w:rPr>
              <w:t>
— — — — — — with sulphur content not exceeding 0.05 wt.%:</w:t>
            </w:r>
          </w:p>
          <w:p>
            <w:pPr>
              <w:spacing w:after="20"/>
              <w:ind w:left="20"/>
              <w:jc w:val="both"/>
            </w:pPr>
            <w:r>
              <w:rPr>
                <w:rFonts w:ascii="Times New Roman"/>
                <w:b w:val="false"/>
                <w:i w:val="false"/>
                <w:color w:val="000000"/>
                <w:sz w:val="20"/>
              </w:rPr>
              <w:t>
— — — — — — — diesel fuel:</w:t>
            </w:r>
          </w:p>
          <w:p>
            <w:pPr>
              <w:spacing w:after="20"/>
              <w:ind w:left="20"/>
              <w:jc w:val="both"/>
            </w:pPr>
            <w:r>
              <w:rPr>
                <w:rFonts w:ascii="Times New Roman"/>
                <w:b w:val="false"/>
                <w:i w:val="false"/>
                <w:color w:val="000000"/>
                <w:sz w:val="20"/>
              </w:rPr>
              <w:t>
— — — — — — — — winter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heavy distillates:</w:t>
            </w:r>
          </w:p>
          <w:p>
            <w:pPr>
              <w:spacing w:after="20"/>
              <w:ind w:left="20"/>
              <w:jc w:val="both"/>
            </w:pPr>
            <w:r>
              <w:rPr>
                <w:rFonts w:ascii="Times New Roman"/>
                <w:b w:val="false"/>
                <w:i w:val="false"/>
                <w:color w:val="000000"/>
                <w:sz w:val="20"/>
              </w:rPr>
              <w:t>
— — — — gas oils:</w:t>
            </w:r>
          </w:p>
          <w:p>
            <w:pPr>
              <w:spacing w:after="20"/>
              <w:ind w:left="20"/>
              <w:jc w:val="both"/>
            </w:pPr>
            <w:r>
              <w:rPr>
                <w:rFonts w:ascii="Times New Roman"/>
                <w:b w:val="false"/>
                <w:i w:val="false"/>
                <w:color w:val="000000"/>
                <w:sz w:val="20"/>
              </w:rPr>
              <w:t>
— — — — — for other purposes:</w:t>
            </w:r>
          </w:p>
          <w:p>
            <w:pPr>
              <w:spacing w:after="20"/>
              <w:ind w:left="20"/>
              <w:jc w:val="both"/>
            </w:pPr>
            <w:r>
              <w:rPr>
                <w:rFonts w:ascii="Times New Roman"/>
                <w:b w:val="false"/>
                <w:i w:val="false"/>
                <w:color w:val="000000"/>
                <w:sz w:val="20"/>
              </w:rPr>
              <w:t>
— — — — — — with sulphur content not exceeding 0.05 wt.%:</w:t>
            </w:r>
          </w:p>
          <w:p>
            <w:pPr>
              <w:spacing w:after="20"/>
              <w:ind w:left="20"/>
              <w:jc w:val="both"/>
            </w:pPr>
            <w:r>
              <w:rPr>
                <w:rFonts w:ascii="Times New Roman"/>
                <w:b w:val="false"/>
                <w:i w:val="false"/>
                <w:color w:val="000000"/>
                <w:sz w:val="20"/>
              </w:rPr>
              <w:t>
— — — — — — — diesel fuel:</w:t>
            </w:r>
          </w:p>
          <w:p>
            <w:pPr>
              <w:spacing w:after="20"/>
              <w:ind w:left="20"/>
              <w:jc w:val="both"/>
            </w:pPr>
            <w:r>
              <w:rPr>
                <w:rFonts w:ascii="Times New Roman"/>
                <w:b w:val="false"/>
                <w:i w:val="false"/>
                <w:color w:val="000000"/>
                <w:sz w:val="20"/>
              </w:rPr>
              <w:t>
— — — — — — — — arctic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heavy distillates:</w:t>
            </w:r>
          </w:p>
          <w:p>
            <w:pPr>
              <w:spacing w:after="20"/>
              <w:ind w:left="20"/>
              <w:jc w:val="both"/>
            </w:pPr>
            <w:r>
              <w:rPr>
                <w:rFonts w:ascii="Times New Roman"/>
                <w:b w:val="false"/>
                <w:i w:val="false"/>
                <w:color w:val="000000"/>
                <w:sz w:val="20"/>
              </w:rPr>
              <w:t>
— — — — gas oils:</w:t>
            </w:r>
          </w:p>
          <w:p>
            <w:pPr>
              <w:spacing w:after="20"/>
              <w:ind w:left="20"/>
              <w:jc w:val="both"/>
            </w:pPr>
            <w:r>
              <w:rPr>
                <w:rFonts w:ascii="Times New Roman"/>
                <w:b w:val="false"/>
                <w:i w:val="false"/>
                <w:color w:val="000000"/>
                <w:sz w:val="20"/>
              </w:rPr>
              <w:t>
— — — — — for other purposes:</w:t>
            </w:r>
          </w:p>
          <w:p>
            <w:pPr>
              <w:spacing w:after="20"/>
              <w:ind w:left="20"/>
              <w:jc w:val="both"/>
            </w:pPr>
            <w:r>
              <w:rPr>
                <w:rFonts w:ascii="Times New Roman"/>
                <w:b w:val="false"/>
                <w:i w:val="false"/>
                <w:color w:val="000000"/>
                <w:sz w:val="20"/>
              </w:rPr>
              <w:t>
— — — — — — with sulphur content not exceeding 0.05 wt.%:</w:t>
            </w:r>
          </w:p>
          <w:p>
            <w:pPr>
              <w:spacing w:after="20"/>
              <w:ind w:left="20"/>
              <w:jc w:val="both"/>
            </w:pPr>
            <w:r>
              <w:rPr>
                <w:rFonts w:ascii="Times New Roman"/>
                <w:b w:val="false"/>
                <w:i w:val="false"/>
                <w:color w:val="000000"/>
                <w:sz w:val="20"/>
              </w:rPr>
              <w:t>
— — — — — — — diesel fuel:</w:t>
            </w:r>
          </w:p>
          <w:p>
            <w:pPr>
              <w:spacing w:after="20"/>
              <w:ind w:left="20"/>
              <w:jc w:val="both"/>
            </w:pPr>
            <w:r>
              <w:rPr>
                <w:rFonts w:ascii="Times New Roman"/>
                <w:b w:val="false"/>
                <w:i w:val="false"/>
                <w:color w:val="000000"/>
                <w:sz w:val="20"/>
              </w:rPr>
              <w:t>
— — — — — — — — off-season 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and petroleum products derived from bituminous rocks, other than crude oil; products, not elsewhere named or included, containing 70 wt.% or more of petroleum or petroleum products derived from bituminous rocks, these petroleum products being the main constituents of the products; </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or more of crude oil or petroleum products derived from bituminous rocks, these petroleum products being the major constituents of the products, excluding those containing biodiesel and waste petroleum products:</w:t>
            </w:r>
          </w:p>
          <w:p>
            <w:pPr>
              <w:spacing w:after="20"/>
              <w:ind w:left="20"/>
              <w:jc w:val="both"/>
            </w:pPr>
            <w:r>
              <w:rPr>
                <w:rFonts w:ascii="Times New Roman"/>
                <w:b w:val="false"/>
                <w:i w:val="false"/>
                <w:color w:val="000000"/>
                <w:sz w:val="20"/>
              </w:rPr>
              <w:t>
— — others:</w:t>
            </w:r>
          </w:p>
          <w:p>
            <w:pPr>
              <w:spacing w:after="20"/>
              <w:ind w:left="20"/>
              <w:jc w:val="both"/>
            </w:pPr>
            <w:r>
              <w:rPr>
                <w:rFonts w:ascii="Times New Roman"/>
                <w:b w:val="false"/>
                <w:i w:val="false"/>
                <w:color w:val="000000"/>
                <w:sz w:val="20"/>
              </w:rPr>
              <w:t>
— — — heavy distillates:</w:t>
            </w:r>
          </w:p>
          <w:p>
            <w:pPr>
              <w:spacing w:after="20"/>
              <w:ind w:left="20"/>
              <w:jc w:val="both"/>
            </w:pPr>
            <w:r>
              <w:rPr>
                <w:rFonts w:ascii="Times New Roman"/>
                <w:b w:val="false"/>
                <w:i w:val="false"/>
                <w:color w:val="000000"/>
                <w:sz w:val="20"/>
              </w:rPr>
              <w:t>
— — — — gas oils:</w:t>
            </w:r>
          </w:p>
          <w:p>
            <w:pPr>
              <w:spacing w:after="20"/>
              <w:ind w:left="20"/>
              <w:jc w:val="both"/>
            </w:pPr>
            <w:r>
              <w:rPr>
                <w:rFonts w:ascii="Times New Roman"/>
                <w:b w:val="false"/>
                <w:i w:val="false"/>
                <w:color w:val="000000"/>
                <w:sz w:val="20"/>
              </w:rPr>
              <w:t>
— — — — — for other purposes:</w:t>
            </w:r>
          </w:p>
          <w:p>
            <w:pPr>
              <w:spacing w:after="20"/>
              <w:ind w:left="20"/>
              <w:jc w:val="both"/>
            </w:pPr>
            <w:r>
              <w:rPr>
                <w:rFonts w:ascii="Times New Roman"/>
                <w:b w:val="false"/>
                <w:i w:val="false"/>
                <w:color w:val="000000"/>
                <w:sz w:val="20"/>
              </w:rPr>
              <w:t>
— — — — — — with sulphur content not exceeding 0.05 wt.%:</w:t>
            </w:r>
          </w:p>
          <w:p>
            <w:pPr>
              <w:spacing w:after="20"/>
              <w:ind w:left="20"/>
              <w:jc w:val="both"/>
            </w:pPr>
            <w:r>
              <w:rPr>
                <w:rFonts w:ascii="Times New Roman"/>
                <w:b w:val="false"/>
                <w:i w:val="false"/>
                <w:color w:val="000000"/>
                <w:sz w:val="20"/>
              </w:rPr>
              <w:t>
— — — — — — — diesel fuel:</w:t>
            </w:r>
          </w:p>
          <w:p>
            <w:pPr>
              <w:spacing w:after="20"/>
              <w:ind w:left="20"/>
              <w:jc w:val="both"/>
            </w:pPr>
            <w:r>
              <w:rPr>
                <w:rFonts w:ascii="Times New Roman"/>
                <w:b w:val="false"/>
                <w:i w:val="false"/>
                <w:color w:val="000000"/>
                <w:sz w:val="20"/>
              </w:rPr>
              <w:t>
— — — — — — — —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an alcohol concentration of 80 volume per cent or more; ethyl alcohol and other alcohol tinctures, denatured, of any concentration:</w:t>
            </w:r>
          </w:p>
          <w:p>
            <w:pPr>
              <w:spacing w:after="20"/>
              <w:ind w:left="20"/>
              <w:jc w:val="both"/>
            </w:pPr>
            <w:r>
              <w:rPr>
                <w:rFonts w:ascii="Times New Roman"/>
                <w:b w:val="false"/>
                <w:i w:val="false"/>
                <w:color w:val="000000"/>
                <w:sz w:val="20"/>
              </w:rPr>
              <w:t>
— undenatured ethyl alcohol with an alcohol concentration of 80 volume per cent or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combination fridge-freezers with separate exterior doors or drawers, or combinations thereof:</w:t>
            </w:r>
          </w:p>
          <w:p>
            <w:pPr>
              <w:spacing w:after="20"/>
              <w:ind w:left="20"/>
              <w:jc w:val="both"/>
            </w:pPr>
            <w:r>
              <w:rPr>
                <w:rFonts w:ascii="Times New Roman"/>
                <w:b w:val="false"/>
                <w:i w:val="false"/>
                <w:color w:val="000000"/>
                <w:sz w:val="20"/>
              </w:rPr>
              <w:t>
— — those with separate exterior doors only:</w:t>
            </w:r>
          </w:p>
          <w:p>
            <w:pPr>
              <w:spacing w:after="20"/>
              <w:ind w:left="20"/>
              <w:jc w:val="both"/>
            </w:pPr>
            <w:r>
              <w:rPr>
                <w:rFonts w:ascii="Times New Roman"/>
                <w:b w:val="false"/>
                <w:i w:val="false"/>
                <w:color w:val="000000"/>
                <w:sz w:val="20"/>
              </w:rPr>
              <w:t>
— — — with a capacity of over 340 litres:</w:t>
            </w:r>
          </w:p>
          <w:p>
            <w:pPr>
              <w:spacing w:after="20"/>
              <w:ind w:left="20"/>
              <w:jc w:val="both"/>
            </w:pPr>
            <w:r>
              <w:rPr>
                <w:rFonts w:ascii="Times New Roman"/>
                <w:b w:val="false"/>
                <w:i w:val="false"/>
                <w:color w:val="000000"/>
                <w:sz w:val="20"/>
              </w:rPr>
              <w:t>
— — — — domestic refrigerators and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combination fridge-freezers with separate exterior doors or drawers, or combinations thereof:</w:t>
            </w:r>
          </w:p>
          <w:p>
            <w:pPr>
              <w:spacing w:after="20"/>
              <w:ind w:left="20"/>
              <w:jc w:val="both"/>
            </w:pPr>
            <w:r>
              <w:rPr>
                <w:rFonts w:ascii="Times New Roman"/>
                <w:b w:val="false"/>
                <w:i w:val="false"/>
                <w:color w:val="000000"/>
                <w:sz w:val="20"/>
              </w:rPr>
              <w:t>
— — those with separate exterior doors only:</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domestic refrigerators and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domestic refrigerators:</w:t>
            </w:r>
          </w:p>
          <w:p>
            <w:pPr>
              <w:spacing w:after="20"/>
              <w:ind w:left="20"/>
              <w:jc w:val="both"/>
            </w:pPr>
            <w:r>
              <w:rPr>
                <w:rFonts w:ascii="Times New Roman"/>
                <w:b w:val="false"/>
                <w:i w:val="false"/>
                <w:color w:val="000000"/>
                <w:sz w:val="20"/>
              </w:rPr>
              <w:t>
— — compression ones:</w:t>
            </w:r>
          </w:p>
          <w:p>
            <w:pPr>
              <w:spacing w:after="20"/>
              <w:ind w:left="20"/>
              <w:jc w:val="both"/>
            </w:pPr>
            <w:r>
              <w:rPr>
                <w:rFonts w:ascii="Times New Roman"/>
                <w:b w:val="false"/>
                <w:i w:val="false"/>
                <w:color w:val="000000"/>
                <w:sz w:val="20"/>
              </w:rPr>
              <w:t>
— — — with a capacity of over 340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domestic refrigerators:</w:t>
            </w:r>
          </w:p>
          <w:p>
            <w:pPr>
              <w:spacing w:after="20"/>
              <w:ind w:left="20"/>
              <w:jc w:val="both"/>
            </w:pPr>
            <w:r>
              <w:rPr>
                <w:rFonts w:ascii="Times New Roman"/>
                <w:b w:val="false"/>
                <w:i w:val="false"/>
                <w:color w:val="000000"/>
                <w:sz w:val="20"/>
              </w:rPr>
              <w:t>
— — compression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table-shaped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domestic refrigerators:</w:t>
            </w:r>
          </w:p>
          <w:p>
            <w:pPr>
              <w:spacing w:after="20"/>
              <w:ind w:left="20"/>
              <w:jc w:val="both"/>
            </w:pPr>
            <w:r>
              <w:rPr>
                <w:rFonts w:ascii="Times New Roman"/>
                <w:b w:val="false"/>
                <w:i w:val="false"/>
                <w:color w:val="000000"/>
                <w:sz w:val="20"/>
              </w:rPr>
              <w:t>
— — compression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built-in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domestic refrigerators:</w:t>
            </w:r>
          </w:p>
          <w:p>
            <w:pPr>
              <w:spacing w:after="20"/>
              <w:ind w:left="20"/>
              <w:jc w:val="both"/>
            </w:pPr>
            <w:r>
              <w:rPr>
                <w:rFonts w:ascii="Times New Roman"/>
                <w:b w:val="false"/>
                <w:i w:val="false"/>
                <w:color w:val="000000"/>
                <w:sz w:val="20"/>
              </w:rPr>
              <w:t>
— — compression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 with a capacity of:</w:t>
            </w:r>
          </w:p>
          <w:p>
            <w:pPr>
              <w:spacing w:after="20"/>
              <w:ind w:left="20"/>
              <w:jc w:val="both"/>
            </w:pPr>
            <w:r>
              <w:rPr>
                <w:rFonts w:ascii="Times New Roman"/>
                <w:b w:val="false"/>
                <w:i w:val="false"/>
                <w:color w:val="000000"/>
                <w:sz w:val="20"/>
              </w:rPr>
              <w:t>
— — — — — not more than 250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domestic refrigerators:</w:t>
            </w:r>
          </w:p>
          <w:p>
            <w:pPr>
              <w:spacing w:after="20"/>
              <w:ind w:left="20"/>
              <w:jc w:val="both"/>
            </w:pPr>
            <w:r>
              <w:rPr>
                <w:rFonts w:ascii="Times New Roman"/>
                <w:b w:val="false"/>
                <w:i w:val="false"/>
                <w:color w:val="000000"/>
                <w:sz w:val="20"/>
              </w:rPr>
              <w:t>
— — compression ones:</w:t>
            </w:r>
          </w:p>
          <w:p>
            <w:pPr>
              <w:spacing w:after="20"/>
              <w:ind w:left="20"/>
              <w:jc w:val="both"/>
            </w:pPr>
            <w:r>
              <w:rPr>
                <w:rFonts w:ascii="Times New Roman"/>
                <w:b w:val="false"/>
                <w:i w:val="false"/>
                <w:color w:val="000000"/>
                <w:sz w:val="20"/>
              </w:rPr>
              <w:t>
— — — others:</w:t>
            </w:r>
          </w:p>
          <w:p>
            <w:pPr>
              <w:spacing w:after="20"/>
              <w:ind w:left="20"/>
              <w:jc w:val="both"/>
            </w:pPr>
            <w:r>
              <w:rPr>
                <w:rFonts w:ascii="Times New Roman"/>
                <w:b w:val="false"/>
                <w:i w:val="false"/>
                <w:color w:val="000000"/>
                <w:sz w:val="20"/>
              </w:rPr>
              <w:t>
— — — — others, with a capacity of:</w:t>
            </w:r>
          </w:p>
          <w:p>
            <w:pPr>
              <w:spacing w:after="20"/>
              <w:ind w:left="20"/>
              <w:jc w:val="both"/>
            </w:pPr>
            <w:r>
              <w:rPr>
                <w:rFonts w:ascii="Times New Roman"/>
                <w:b w:val="false"/>
                <w:i w:val="false"/>
                <w:color w:val="000000"/>
                <w:sz w:val="20"/>
              </w:rPr>
              <w:t>
— — — — — more than 250 litres but not more than 340 litres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chest freezers with a capacity not exceeding 800 litres:</w:t>
            </w:r>
          </w:p>
          <w:p>
            <w:pPr>
              <w:spacing w:after="20"/>
              <w:ind w:left="20"/>
              <w:jc w:val="both"/>
            </w:pPr>
            <w:r>
              <w:rPr>
                <w:rFonts w:ascii="Times New Roman"/>
                <w:b w:val="false"/>
                <w:i w:val="false"/>
                <w:color w:val="000000"/>
                <w:sz w:val="20"/>
              </w:rPr>
              <w:t>
— — with a maximum capacity of 400 litres:</w:t>
            </w:r>
          </w:p>
          <w:p>
            <w:pPr>
              <w:spacing w:after="20"/>
              <w:ind w:left="20"/>
              <w:jc w:val="both"/>
            </w:pPr>
            <w:r>
              <w:rPr>
                <w:rFonts w:ascii="Times New Roman"/>
                <w:b w:val="false"/>
                <w:i w:val="false"/>
                <w:color w:val="000000"/>
                <w:sz w:val="20"/>
              </w:rPr>
              <w:t>
— — — domestic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chest freezers with a capacity not exceeding 800 litres:</w:t>
            </w:r>
          </w:p>
          <w:p>
            <w:pPr>
              <w:spacing w:after="20"/>
              <w:ind w:left="20"/>
              <w:jc w:val="both"/>
            </w:pPr>
            <w:r>
              <w:rPr>
                <w:rFonts w:ascii="Times New Roman"/>
                <w:b w:val="false"/>
                <w:i w:val="false"/>
                <w:color w:val="000000"/>
                <w:sz w:val="20"/>
              </w:rPr>
              <w:t>
— — with a capacity of more than 400 litres but not more than 800 litres:</w:t>
            </w:r>
          </w:p>
          <w:p>
            <w:pPr>
              <w:spacing w:after="20"/>
              <w:ind w:left="20"/>
              <w:jc w:val="both"/>
            </w:pPr>
            <w:r>
              <w:rPr>
                <w:rFonts w:ascii="Times New Roman"/>
                <w:b w:val="false"/>
                <w:i w:val="false"/>
                <w:color w:val="000000"/>
                <w:sz w:val="20"/>
              </w:rPr>
              <w:t>
— — — domestic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upright freezers with a maximum capacity of 900 litres:</w:t>
            </w:r>
          </w:p>
          <w:p>
            <w:pPr>
              <w:spacing w:after="20"/>
              <w:ind w:left="20"/>
              <w:jc w:val="both"/>
            </w:pPr>
            <w:r>
              <w:rPr>
                <w:rFonts w:ascii="Times New Roman"/>
                <w:b w:val="false"/>
                <w:i w:val="false"/>
                <w:color w:val="000000"/>
                <w:sz w:val="20"/>
              </w:rPr>
              <w:t>
— — with a capacity of not more than 250 litres:</w:t>
            </w:r>
          </w:p>
          <w:p>
            <w:pPr>
              <w:spacing w:after="20"/>
              <w:ind w:left="20"/>
              <w:jc w:val="both"/>
            </w:pPr>
            <w:r>
              <w:rPr>
                <w:rFonts w:ascii="Times New Roman"/>
                <w:b w:val="false"/>
                <w:i w:val="false"/>
                <w:color w:val="000000"/>
                <w:sz w:val="20"/>
              </w:rPr>
              <w:t>
— — — domestic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Refrigerators, freezers and other refrigerating or freezing equipment, electric or other types; heat pumps excluding air-conditioning units of heading № 8415:</w:t>
            </w:r>
          </w:p>
          <w:p>
            <w:pPr>
              <w:spacing w:after="20"/>
              <w:ind w:left="20"/>
              <w:jc w:val="both"/>
            </w:pPr>
            <w:r>
              <w:rPr>
                <w:rFonts w:ascii="Times New Roman"/>
                <w:b w:val="false"/>
                <w:i w:val="false"/>
                <w:color w:val="000000"/>
                <w:sz w:val="20"/>
              </w:rPr>
              <w:t>
— upright freezers with a maximum capacity of 900 litres:</w:t>
            </w:r>
          </w:p>
          <w:p>
            <w:pPr>
              <w:spacing w:after="20"/>
              <w:ind w:left="20"/>
              <w:jc w:val="both"/>
            </w:pPr>
            <w:r>
              <w:rPr>
                <w:rFonts w:ascii="Times New Roman"/>
                <w:b w:val="false"/>
                <w:i w:val="false"/>
                <w:color w:val="000000"/>
                <w:sz w:val="20"/>
              </w:rPr>
              <w:t>
— — with a capacity of more than 250 litres but not more than 900 litres:</w:t>
            </w:r>
          </w:p>
          <w:p>
            <w:pPr>
              <w:spacing w:after="20"/>
              <w:ind w:left="20"/>
              <w:jc w:val="both"/>
            </w:pPr>
            <w:r>
              <w:rPr>
                <w:rFonts w:ascii="Times New Roman"/>
                <w:b w:val="false"/>
                <w:i w:val="false"/>
                <w:color w:val="000000"/>
                <w:sz w:val="20"/>
              </w:rPr>
              <w:t>
— — — domestic freezers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1, 2023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main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light distillates and products:</w:t>
            </w:r>
          </w:p>
          <w:p>
            <w:pPr>
              <w:spacing w:after="20"/>
              <w:ind w:left="20"/>
              <w:jc w:val="both"/>
            </w:pPr>
            <w:r>
              <w:rPr>
                <w:rFonts w:ascii="Times New Roman"/>
                <w:b w:val="false"/>
                <w:i w:val="false"/>
                <w:color w:val="000000"/>
                <w:sz w:val="20"/>
              </w:rPr>
              <w:t>— — — for other purposes:</w:t>
            </w:r>
          </w:p>
          <w:p>
            <w:pPr>
              <w:spacing w:after="20"/>
              <w:ind w:left="20"/>
              <w:jc w:val="both"/>
            </w:pPr>
            <w:r>
              <w:rPr>
                <w:rFonts w:ascii="Times New Roman"/>
                <w:b w:val="false"/>
                <w:i w:val="false"/>
                <w:color w:val="000000"/>
                <w:sz w:val="20"/>
              </w:rPr>
              <w:t>— — — — special gasolines:</w:t>
            </w:r>
          </w:p>
          <w:p>
            <w:pPr>
              <w:spacing w:after="20"/>
              <w:ind w:left="20"/>
              <w:jc w:val="both"/>
            </w:pPr>
            <w:r>
              <w:rPr>
                <w:rFonts w:ascii="Times New Roman"/>
                <w:b w:val="false"/>
                <w:i w:val="false"/>
                <w:color w:val="000000"/>
                <w:sz w:val="20"/>
              </w:rPr>
              <w:t>— — — — — other:</w:t>
            </w:r>
          </w:p>
          <w:p>
            <w:pPr>
              <w:spacing w:after="20"/>
              <w:ind w:left="20"/>
              <w:jc w:val="both"/>
            </w:pPr>
            <w:r>
              <w:rPr>
                <w:rFonts w:ascii="Times New Roman"/>
                <w:b w:val="false"/>
                <w:i w:val="false"/>
                <w:color w:val="000000"/>
                <w:sz w:val="20"/>
              </w:rPr>
              <w:t xml:space="preserve">— — — — — — other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March15, 2024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main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light distillates and products:</w:t>
            </w:r>
          </w:p>
          <w:p>
            <w:pPr>
              <w:spacing w:after="20"/>
              <w:ind w:left="20"/>
              <w:jc w:val="both"/>
            </w:pPr>
            <w:r>
              <w:rPr>
                <w:rFonts w:ascii="Times New Roman"/>
                <w:b w:val="false"/>
                <w:i w:val="false"/>
                <w:color w:val="000000"/>
                <w:sz w:val="20"/>
              </w:rPr>
              <w:t>— — — for other  purposes:</w:t>
            </w:r>
          </w:p>
          <w:p>
            <w:pPr>
              <w:spacing w:after="20"/>
              <w:ind w:left="20"/>
              <w:jc w:val="both"/>
            </w:pPr>
            <w:r>
              <w:rPr>
                <w:rFonts w:ascii="Times New Roman"/>
                <w:b w:val="false"/>
                <w:i w:val="false"/>
                <w:color w:val="000000"/>
                <w:sz w:val="20"/>
              </w:rPr>
              <w:t>— — — — other:</w:t>
            </w:r>
          </w:p>
          <w:p>
            <w:pPr>
              <w:spacing w:after="20"/>
              <w:ind w:left="20"/>
              <w:jc w:val="both"/>
            </w:pPr>
            <w:r>
              <w:rPr>
                <w:rFonts w:ascii="Times New Roman"/>
                <w:b w:val="false"/>
                <w:i w:val="false"/>
                <w:color w:val="000000"/>
                <w:sz w:val="20"/>
              </w:rPr>
              <w:t>— — — — —motor gasolines:</w:t>
            </w:r>
          </w:p>
          <w:p>
            <w:pPr>
              <w:spacing w:after="20"/>
              <w:ind w:left="20"/>
              <w:jc w:val="both"/>
            </w:pPr>
            <w:r>
              <w:rPr>
                <w:rFonts w:ascii="Times New Roman"/>
                <w:b w:val="false"/>
                <w:i w:val="false"/>
                <w:color w:val="000000"/>
                <w:sz w:val="20"/>
              </w:rPr>
              <w:t>— — — — — — aviation gasolines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main constituents of the products;</w:t>
            </w:r>
          </w:p>
          <w:p>
            <w:pPr>
              <w:spacing w:after="20"/>
              <w:ind w:left="20"/>
              <w:jc w:val="both"/>
            </w:pPr>
            <w:r>
              <w:rPr>
                <w:rFonts w:ascii="Times New Roman"/>
                <w:b w:val="false"/>
                <w:i w:val="false"/>
                <w:color w:val="000000"/>
                <w:sz w:val="20"/>
              </w:rPr>
              <w:t>
waste petroleum products:</w:t>
            </w:r>
          </w:p>
          <w:p>
            <w:pPr>
              <w:spacing w:after="20"/>
              <w:ind w:left="20"/>
              <w:jc w:val="both"/>
            </w:pPr>
            <w:r>
              <w:rPr>
                <w:rFonts w:ascii="Times New Roman"/>
                <w:b w:val="false"/>
                <w:i w:val="false"/>
                <w:color w:val="000000"/>
                <w:sz w:val="20"/>
              </w:rPr>
              <w:t>—crude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light distillates and products:</w:t>
            </w:r>
          </w:p>
          <w:p>
            <w:pPr>
              <w:spacing w:after="20"/>
              <w:ind w:left="20"/>
              <w:jc w:val="both"/>
            </w:pPr>
            <w:r>
              <w:rPr>
                <w:rFonts w:ascii="Times New Roman"/>
                <w:b w:val="false"/>
                <w:i w:val="false"/>
                <w:color w:val="000000"/>
                <w:sz w:val="20"/>
              </w:rPr>
              <w:t>— — — for other purposes:</w:t>
            </w:r>
          </w:p>
          <w:p>
            <w:pPr>
              <w:spacing w:after="20"/>
              <w:ind w:left="20"/>
              <w:jc w:val="both"/>
            </w:pPr>
            <w:r>
              <w:rPr>
                <w:rFonts w:ascii="Times New Roman"/>
                <w:b w:val="false"/>
                <w:i w:val="false"/>
                <w:color w:val="000000"/>
                <w:sz w:val="20"/>
              </w:rPr>
              <w:t>— — — — other:</w:t>
            </w:r>
          </w:p>
          <w:p>
            <w:pPr>
              <w:spacing w:after="20"/>
              <w:ind w:left="20"/>
              <w:jc w:val="both"/>
            </w:pPr>
            <w:r>
              <w:rPr>
                <w:rFonts w:ascii="Times New Roman"/>
                <w:b w:val="false"/>
                <w:i w:val="false"/>
                <w:color w:val="000000"/>
                <w:sz w:val="20"/>
              </w:rPr>
              <w:t>— — — — — jet fuel for jet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main constituents of the products;</w:t>
            </w:r>
          </w:p>
          <w:p>
            <w:pPr>
              <w:spacing w:after="20"/>
              <w:ind w:left="20"/>
              <w:jc w:val="both"/>
            </w:pPr>
            <w:r>
              <w:rPr>
                <w:rFonts w:ascii="Times New Roman"/>
                <w:b w:val="false"/>
                <w:i w:val="false"/>
                <w:color w:val="000000"/>
                <w:sz w:val="20"/>
              </w:rPr>
              <w:t>
waste petroleum products:</w:t>
            </w:r>
          </w:p>
          <w:p>
            <w:pPr>
              <w:spacing w:after="20"/>
              <w:ind w:left="20"/>
              <w:jc w:val="both"/>
            </w:pPr>
            <w:r>
              <w:rPr>
                <w:rFonts w:ascii="Times New Roman"/>
                <w:b w:val="false"/>
                <w:i w:val="false"/>
                <w:color w:val="000000"/>
                <w:sz w:val="20"/>
              </w:rPr>
              <w:t>—crude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light distillates and  products:</w:t>
            </w:r>
          </w:p>
          <w:p>
            <w:pPr>
              <w:spacing w:after="20"/>
              <w:ind w:left="20"/>
              <w:jc w:val="both"/>
            </w:pPr>
            <w:r>
              <w:rPr>
                <w:rFonts w:ascii="Times New Roman"/>
                <w:b w:val="false"/>
                <w:i w:val="false"/>
                <w:color w:val="000000"/>
                <w:sz w:val="20"/>
              </w:rPr>
              <w:t>— — — for other purposes:</w:t>
            </w:r>
          </w:p>
          <w:p>
            <w:pPr>
              <w:spacing w:after="20"/>
              <w:ind w:left="20"/>
              <w:jc w:val="both"/>
            </w:pPr>
            <w:r>
              <w:rPr>
                <w:rFonts w:ascii="Times New Roman"/>
                <w:b w:val="false"/>
                <w:i w:val="false"/>
                <w:color w:val="000000"/>
                <w:sz w:val="20"/>
              </w:rPr>
              <w:t>— — — — other:</w:t>
            </w:r>
          </w:p>
          <w:p>
            <w:pPr>
              <w:spacing w:after="20"/>
              <w:ind w:left="20"/>
              <w:jc w:val="both"/>
            </w:pPr>
            <w:r>
              <w:rPr>
                <w:rFonts w:ascii="Times New Roman"/>
                <w:b w:val="false"/>
                <w:i w:val="false"/>
                <w:color w:val="000000"/>
                <w:sz w:val="20"/>
              </w:rPr>
              <w:t>— — — — — other light distillates:</w:t>
            </w:r>
          </w:p>
          <w:p>
            <w:pPr>
              <w:spacing w:after="20"/>
              <w:ind w:left="20"/>
              <w:jc w:val="both"/>
            </w:pPr>
            <w:r>
              <w:rPr>
                <w:rFonts w:ascii="Times New Roman"/>
                <w:b w:val="false"/>
                <w:i w:val="false"/>
                <w:color w:val="000000"/>
                <w:sz w:val="20"/>
              </w:rPr>
              <w:t>— — — — — — other:— — — — — — —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 — middle distillates:</w:t>
            </w:r>
          </w:p>
          <w:p>
            <w:pPr>
              <w:spacing w:after="20"/>
              <w:ind w:left="20"/>
              <w:jc w:val="both"/>
            </w:pPr>
            <w:r>
              <w:rPr>
                <w:rFonts w:ascii="Times New Roman"/>
                <w:b w:val="false"/>
                <w:i w:val="false"/>
                <w:color w:val="000000"/>
                <w:sz w:val="20"/>
              </w:rPr>
              <w:t>— — — — for other purposes:</w:t>
            </w:r>
          </w:p>
          <w:p>
            <w:pPr>
              <w:spacing w:after="20"/>
              <w:ind w:left="20"/>
              <w:jc w:val="both"/>
            </w:pPr>
            <w:r>
              <w:rPr>
                <w:rFonts w:ascii="Times New Roman"/>
                <w:b w:val="false"/>
                <w:i w:val="false"/>
                <w:color w:val="000000"/>
                <w:sz w:val="20"/>
              </w:rPr>
              <w:t>— — — — — kerosene:</w:t>
            </w:r>
          </w:p>
          <w:p>
            <w:pPr>
              <w:spacing w:after="20"/>
              <w:ind w:left="20"/>
              <w:jc w:val="both"/>
            </w:pPr>
            <w:r>
              <w:rPr>
                <w:rFonts w:ascii="Times New Roman"/>
                <w:b w:val="false"/>
                <w:i w:val="false"/>
                <w:color w:val="000000"/>
                <w:sz w:val="20"/>
              </w:rPr>
              <w:t>— — — — — — fuel for jet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t>
            </w:r>
          </w:p>
          <w:p>
            <w:pPr>
              <w:spacing w:after="20"/>
              <w:ind w:left="20"/>
              <w:jc w:val="both"/>
            </w:pPr>
            <w:r>
              <w:rPr>
                <w:rFonts w:ascii="Times New Roman"/>
                <w:b w:val="false"/>
                <w:i w:val="false"/>
                <w:color w:val="000000"/>
                <w:sz w:val="20"/>
              </w:rPr>
              <w:t>
waste petroleum products:</w:t>
            </w:r>
          </w:p>
          <w:p>
            <w:pPr>
              <w:spacing w:after="20"/>
              <w:ind w:left="20"/>
              <w:jc w:val="both"/>
            </w:pPr>
            <w:r>
              <w:rPr>
                <w:rFonts w:ascii="Times New Roman"/>
                <w:b w:val="false"/>
                <w:i w:val="false"/>
                <w:color w:val="000000"/>
                <w:sz w:val="20"/>
              </w:rPr>
              <w:t>
—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 — — other:</w:t>
            </w:r>
          </w:p>
          <w:p>
            <w:pPr>
              <w:spacing w:after="20"/>
              <w:ind w:left="20"/>
              <w:jc w:val="both"/>
            </w:pPr>
            <w:r>
              <w:rPr>
                <w:rFonts w:ascii="Times New Roman"/>
                <w:b w:val="false"/>
                <w:i w:val="false"/>
                <w:color w:val="000000"/>
                <w:sz w:val="20"/>
              </w:rPr>
              <w:t>— — — heavy distillates:</w:t>
            </w:r>
          </w:p>
          <w:p>
            <w:pPr>
              <w:spacing w:after="20"/>
              <w:ind w:left="20"/>
              <w:jc w:val="both"/>
            </w:pPr>
            <w:r>
              <w:rPr>
                <w:rFonts w:ascii="Times New Roman"/>
                <w:b w:val="false"/>
                <w:i w:val="false"/>
                <w:color w:val="000000"/>
                <w:sz w:val="20"/>
              </w:rPr>
              <w:t>— — — —liquid fuels:</w:t>
            </w:r>
          </w:p>
          <w:p>
            <w:pPr>
              <w:spacing w:after="20"/>
              <w:ind w:left="20"/>
              <w:jc w:val="both"/>
            </w:pPr>
            <w:r>
              <w:rPr>
                <w:rFonts w:ascii="Times New Roman"/>
                <w:b w:val="false"/>
                <w:i w:val="false"/>
                <w:color w:val="000000"/>
                <w:sz w:val="20"/>
              </w:rPr>
              <w:t>— — — — — for specific refining processes:</w:t>
            </w:r>
          </w:p>
          <w:p>
            <w:pPr>
              <w:spacing w:after="20"/>
              <w:ind w:left="20"/>
              <w:jc w:val="both"/>
            </w:pPr>
            <w:r>
              <w:rPr>
                <w:rFonts w:ascii="Times New Roman"/>
                <w:b w:val="false"/>
                <w:i w:val="false"/>
                <w:color w:val="000000"/>
                <w:sz w:val="20"/>
              </w:rPr>
              <w:t>— — —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xml:space="preserve">— — — heavy </w:t>
            </w:r>
          </w:p>
          <w:p>
            <w:pPr>
              <w:spacing w:after="20"/>
              <w:ind w:left="20"/>
              <w:jc w:val="both"/>
            </w:pPr>
            <w:r>
              <w:rPr>
                <w:rFonts w:ascii="Times New Roman"/>
                <w:b w:val="false"/>
                <w:i w:val="false"/>
                <w:color w:val="000000"/>
                <w:sz w:val="20"/>
              </w:rPr>
              <w:t>
distillates:</w:t>
            </w:r>
          </w:p>
          <w:p>
            <w:pPr>
              <w:spacing w:after="20"/>
              <w:ind w:left="20"/>
              <w:jc w:val="both"/>
            </w:pPr>
            <w:r>
              <w:rPr>
                <w:rFonts w:ascii="Times New Roman"/>
                <w:b w:val="false"/>
                <w:i w:val="false"/>
                <w:color w:val="000000"/>
                <w:sz w:val="20"/>
              </w:rPr>
              <w:t>— — — — liquid fuels:</w:t>
            </w:r>
          </w:p>
          <w:p>
            <w:pPr>
              <w:spacing w:after="20"/>
              <w:ind w:left="20"/>
              <w:jc w:val="both"/>
            </w:pPr>
            <w:r>
              <w:rPr>
                <w:rFonts w:ascii="Times New Roman"/>
                <w:b w:val="false"/>
                <w:i w:val="false"/>
                <w:color w:val="000000"/>
                <w:sz w:val="20"/>
              </w:rPr>
              <w:t>— — — — — for chemical transformations in processes other than those specified in sub-position 2710 19 510:</w:t>
            </w:r>
          </w:p>
          <w:p>
            <w:pPr>
              <w:spacing w:after="20"/>
              <w:ind w:left="20"/>
              <w:jc w:val="both"/>
            </w:pPr>
            <w:r>
              <w:rPr>
                <w:rFonts w:ascii="Times New Roman"/>
                <w:b w:val="false"/>
                <w:i w:val="false"/>
                <w:color w:val="000000"/>
                <w:sz w:val="20"/>
              </w:rPr>
              <w:t>— — —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xml:space="preserve">— — — heavy </w:t>
            </w:r>
          </w:p>
          <w:p>
            <w:pPr>
              <w:spacing w:after="20"/>
              <w:ind w:left="20"/>
              <w:jc w:val="both"/>
            </w:pPr>
            <w:r>
              <w:rPr>
                <w:rFonts w:ascii="Times New Roman"/>
                <w:b w:val="false"/>
                <w:i w:val="false"/>
                <w:color w:val="000000"/>
                <w:sz w:val="20"/>
              </w:rPr>
              <w:t>
distillates:</w:t>
            </w:r>
          </w:p>
          <w:p>
            <w:pPr>
              <w:spacing w:after="20"/>
              <w:ind w:left="20"/>
              <w:jc w:val="both"/>
            </w:pPr>
            <w:r>
              <w:rPr>
                <w:rFonts w:ascii="Times New Roman"/>
                <w:b w:val="false"/>
                <w:i w:val="false"/>
                <w:color w:val="000000"/>
                <w:sz w:val="20"/>
              </w:rPr>
              <w:t>— — — — liquid fuels:</w:t>
            </w:r>
          </w:p>
          <w:p>
            <w:pPr>
              <w:spacing w:after="20"/>
              <w:ind w:left="20"/>
              <w:jc w:val="both"/>
            </w:pPr>
            <w:r>
              <w:rPr>
                <w:rFonts w:ascii="Times New Roman"/>
                <w:b w:val="false"/>
                <w:i w:val="false"/>
                <w:color w:val="000000"/>
                <w:sz w:val="20"/>
              </w:rPr>
              <w:t>— — — — — for other purposes:</w:t>
            </w:r>
          </w:p>
          <w:p>
            <w:pPr>
              <w:spacing w:after="20"/>
              <w:ind w:left="20"/>
              <w:jc w:val="both"/>
            </w:pPr>
            <w:r>
              <w:rPr>
                <w:rFonts w:ascii="Times New Roman"/>
                <w:b w:val="false"/>
                <w:i w:val="false"/>
                <w:color w:val="000000"/>
                <w:sz w:val="20"/>
              </w:rPr>
              <w:t>— — — — — — with sulfur content of no more than 1 wt. %:</w:t>
            </w:r>
          </w:p>
          <w:p>
            <w:pPr>
              <w:spacing w:after="20"/>
              <w:ind w:left="20"/>
              <w:jc w:val="both"/>
            </w:pPr>
            <w:r>
              <w:rPr>
                <w:rFonts w:ascii="Times New Roman"/>
                <w:b w:val="false"/>
                <w:i w:val="false"/>
                <w:color w:val="000000"/>
                <w:sz w:val="20"/>
              </w:rPr>
              <w:t xml:space="preserve">— — — — — — —   fuel oils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xml:space="preserve">— — — heavy </w:t>
            </w:r>
          </w:p>
          <w:p>
            <w:pPr>
              <w:spacing w:after="20"/>
              <w:ind w:left="20"/>
              <w:jc w:val="both"/>
            </w:pPr>
            <w:r>
              <w:rPr>
                <w:rFonts w:ascii="Times New Roman"/>
                <w:b w:val="false"/>
                <w:i w:val="false"/>
                <w:color w:val="000000"/>
                <w:sz w:val="20"/>
              </w:rPr>
              <w:t>
distillates:</w:t>
            </w:r>
          </w:p>
          <w:p>
            <w:pPr>
              <w:spacing w:after="20"/>
              <w:ind w:left="20"/>
              <w:jc w:val="both"/>
            </w:pPr>
            <w:r>
              <w:rPr>
                <w:rFonts w:ascii="Times New Roman"/>
                <w:b w:val="false"/>
                <w:i w:val="false"/>
                <w:color w:val="000000"/>
                <w:sz w:val="20"/>
              </w:rPr>
              <w:t>— — — — liquid fuels:</w:t>
            </w:r>
          </w:p>
          <w:p>
            <w:pPr>
              <w:spacing w:after="20"/>
              <w:ind w:left="20"/>
              <w:jc w:val="both"/>
            </w:pPr>
            <w:r>
              <w:rPr>
                <w:rFonts w:ascii="Times New Roman"/>
                <w:b w:val="false"/>
                <w:i w:val="false"/>
                <w:color w:val="000000"/>
                <w:sz w:val="20"/>
              </w:rPr>
              <w:t>— — — — — for other purposes:</w:t>
            </w:r>
          </w:p>
          <w:p>
            <w:pPr>
              <w:spacing w:after="20"/>
              <w:ind w:left="20"/>
              <w:jc w:val="both"/>
            </w:pPr>
            <w:r>
              <w:rPr>
                <w:rFonts w:ascii="Times New Roman"/>
                <w:b w:val="false"/>
                <w:i w:val="false"/>
                <w:color w:val="000000"/>
                <w:sz w:val="20"/>
              </w:rPr>
              <w:t>— — — — — — with sulfur content of more than 1 wt. %, but no more than 2 wt. %:</w:t>
            </w:r>
          </w:p>
          <w:p>
            <w:pPr>
              <w:spacing w:after="20"/>
              <w:ind w:left="20"/>
              <w:jc w:val="both"/>
            </w:pPr>
            <w:r>
              <w:rPr>
                <w:rFonts w:ascii="Times New Roman"/>
                <w:b w:val="false"/>
                <w:i w:val="false"/>
                <w:color w:val="000000"/>
                <w:sz w:val="20"/>
              </w:rPr>
              <w:t xml:space="preserve">— — — — — — — fuel oils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p>
          <w:p>
            <w:pPr>
              <w:spacing w:after="20"/>
              <w:ind w:left="20"/>
              <w:jc w:val="both"/>
            </w:pPr>
            <w:r>
              <w:rPr>
                <w:rFonts w:ascii="Times New Roman"/>
                <w:b w:val="false"/>
                <w:i w:val="false"/>
                <w:color w:val="000000"/>
                <w:sz w:val="20"/>
              </w:rPr>
              <w:t>—crude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xml:space="preserve">— — — heavy </w:t>
            </w:r>
          </w:p>
          <w:p>
            <w:pPr>
              <w:spacing w:after="20"/>
              <w:ind w:left="20"/>
              <w:jc w:val="both"/>
            </w:pPr>
            <w:r>
              <w:rPr>
                <w:rFonts w:ascii="Times New Roman"/>
                <w:b w:val="false"/>
                <w:i w:val="false"/>
                <w:color w:val="000000"/>
                <w:sz w:val="20"/>
              </w:rPr>
              <w:t>
distillates:</w:t>
            </w:r>
          </w:p>
          <w:p>
            <w:pPr>
              <w:spacing w:after="20"/>
              <w:ind w:left="20"/>
              <w:jc w:val="both"/>
            </w:pPr>
            <w:r>
              <w:rPr>
                <w:rFonts w:ascii="Times New Roman"/>
                <w:b w:val="false"/>
                <w:i w:val="false"/>
                <w:color w:val="000000"/>
                <w:sz w:val="20"/>
              </w:rPr>
              <w:t>— — — — liquid fuels:</w:t>
            </w:r>
          </w:p>
          <w:p>
            <w:pPr>
              <w:spacing w:after="20"/>
              <w:ind w:left="20"/>
              <w:jc w:val="both"/>
            </w:pPr>
            <w:r>
              <w:rPr>
                <w:rFonts w:ascii="Times New Roman"/>
                <w:b w:val="false"/>
                <w:i w:val="false"/>
                <w:color w:val="000000"/>
                <w:sz w:val="20"/>
              </w:rPr>
              <w:t>— — — — — for other purposes:</w:t>
            </w:r>
          </w:p>
          <w:p>
            <w:pPr>
              <w:spacing w:after="20"/>
              <w:ind w:left="20"/>
              <w:jc w:val="both"/>
            </w:pPr>
            <w:r>
              <w:rPr>
                <w:rFonts w:ascii="Times New Roman"/>
                <w:b w:val="false"/>
                <w:i w:val="false"/>
                <w:color w:val="000000"/>
                <w:sz w:val="20"/>
              </w:rPr>
              <w:t>— — — — — — with sulfur content of more than 2 wt. %, but no more than 2,8 wt. %,:</w:t>
            </w:r>
          </w:p>
          <w:p>
            <w:pPr>
              <w:spacing w:after="20"/>
              <w:ind w:left="20"/>
              <w:jc w:val="both"/>
            </w:pPr>
            <w:r>
              <w:rPr>
                <w:rFonts w:ascii="Times New Roman"/>
                <w:b w:val="false"/>
                <w:i w:val="false"/>
                <w:color w:val="000000"/>
                <w:sz w:val="20"/>
              </w:rPr>
              <w:t>— — — —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other:</w:t>
            </w:r>
          </w:p>
          <w:p>
            <w:pPr>
              <w:spacing w:after="20"/>
              <w:ind w:left="20"/>
              <w:jc w:val="both"/>
            </w:pPr>
            <w:r>
              <w:rPr>
                <w:rFonts w:ascii="Times New Roman"/>
                <w:b w:val="false"/>
                <w:i w:val="false"/>
                <w:color w:val="000000"/>
                <w:sz w:val="20"/>
              </w:rPr>
              <w:t>— — — heavy distillates:</w:t>
            </w:r>
          </w:p>
          <w:p>
            <w:pPr>
              <w:spacing w:after="20"/>
              <w:ind w:left="20"/>
              <w:jc w:val="both"/>
            </w:pPr>
            <w:r>
              <w:rPr>
                <w:rFonts w:ascii="Times New Roman"/>
                <w:b w:val="false"/>
                <w:i w:val="false"/>
                <w:color w:val="000000"/>
                <w:sz w:val="20"/>
              </w:rPr>
              <w:t>— — — — liquid fuels:</w:t>
            </w:r>
          </w:p>
          <w:p>
            <w:pPr>
              <w:spacing w:after="20"/>
              <w:ind w:left="20"/>
              <w:jc w:val="both"/>
            </w:pPr>
            <w:r>
              <w:rPr>
                <w:rFonts w:ascii="Times New Roman"/>
                <w:b w:val="false"/>
                <w:i w:val="false"/>
                <w:color w:val="000000"/>
                <w:sz w:val="20"/>
              </w:rPr>
              <w:t>— — — — — for other purposes:</w:t>
            </w:r>
          </w:p>
          <w:p>
            <w:pPr>
              <w:spacing w:after="20"/>
              <w:ind w:left="20"/>
              <w:jc w:val="both"/>
            </w:pPr>
            <w:r>
              <w:rPr>
                <w:rFonts w:ascii="Times New Roman"/>
                <w:b w:val="false"/>
                <w:i w:val="false"/>
                <w:color w:val="000000"/>
                <w:sz w:val="20"/>
              </w:rPr>
              <w:t>— — — — — — with sulfur content of more than  2,8 wt. %:</w:t>
            </w:r>
          </w:p>
          <w:p>
            <w:pPr>
              <w:spacing w:after="20"/>
              <w:ind w:left="20"/>
              <w:jc w:val="both"/>
            </w:pPr>
            <w:r>
              <w:rPr>
                <w:rFonts w:ascii="Times New Roman"/>
                <w:b w:val="false"/>
                <w:i w:val="false"/>
                <w:color w:val="000000"/>
                <w:sz w:val="20"/>
              </w:rPr>
              <w:t xml:space="preserve">— — — — — — — fuel oils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liquid fuels:</w:t>
            </w:r>
          </w:p>
          <w:p>
            <w:pPr>
              <w:spacing w:after="20"/>
              <w:ind w:left="20"/>
              <w:jc w:val="both"/>
            </w:pPr>
            <w:r>
              <w:rPr>
                <w:rFonts w:ascii="Times New Roman"/>
                <w:b w:val="false"/>
                <w:i w:val="false"/>
                <w:color w:val="000000"/>
                <w:sz w:val="20"/>
              </w:rPr>
              <w:t>— — — with sulfur content not more than 1 wt. %:</w:t>
            </w:r>
          </w:p>
          <w:p>
            <w:pPr>
              <w:spacing w:after="20"/>
              <w:ind w:left="20"/>
              <w:jc w:val="both"/>
            </w:pPr>
            <w:r>
              <w:rPr>
                <w:rFonts w:ascii="Times New Roman"/>
                <w:b w:val="false"/>
                <w:i w:val="false"/>
                <w:color w:val="000000"/>
                <w:sz w:val="20"/>
              </w:rPr>
              <w:t>—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liquid fuels:</w:t>
            </w:r>
          </w:p>
          <w:p>
            <w:pPr>
              <w:spacing w:after="20"/>
              <w:ind w:left="20"/>
              <w:jc w:val="both"/>
            </w:pPr>
            <w:r>
              <w:rPr>
                <w:rFonts w:ascii="Times New Roman"/>
                <w:b w:val="false"/>
                <w:i w:val="false"/>
                <w:color w:val="000000"/>
                <w:sz w:val="20"/>
              </w:rPr>
              <w:t>— — with sulfur content of more than 1 wt. %, but no more than 2 wt. %:</w:t>
            </w:r>
          </w:p>
          <w:p>
            <w:pPr>
              <w:spacing w:after="20"/>
              <w:ind w:left="20"/>
              <w:jc w:val="both"/>
            </w:pPr>
            <w:r>
              <w:rPr>
                <w:rFonts w:ascii="Times New Roman"/>
                <w:b w:val="false"/>
                <w:i w:val="false"/>
                <w:color w:val="000000"/>
                <w:sz w:val="20"/>
              </w:rPr>
              <w:t>—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liquid fuels:</w:t>
            </w:r>
          </w:p>
          <w:p>
            <w:pPr>
              <w:spacing w:after="20"/>
              <w:ind w:left="20"/>
              <w:jc w:val="both"/>
            </w:pPr>
            <w:r>
              <w:rPr>
                <w:rFonts w:ascii="Times New Roman"/>
                <w:b w:val="false"/>
                <w:i w:val="false"/>
                <w:color w:val="000000"/>
                <w:sz w:val="20"/>
              </w:rPr>
              <w:t>— — — with sulfur content of more than 2 wt. %, but no more than 2,8 wt. %:</w:t>
            </w:r>
          </w:p>
          <w:p>
            <w:pPr>
              <w:spacing w:after="20"/>
              <w:ind w:left="20"/>
              <w:jc w:val="both"/>
            </w:pPr>
            <w:r>
              <w:rPr>
                <w:rFonts w:ascii="Times New Roman"/>
                <w:b w:val="false"/>
                <w:i w:val="false"/>
                <w:color w:val="000000"/>
                <w:sz w:val="20"/>
              </w:rPr>
              <w:t>— — — — fuel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petroleum products derived from bituminous rocks, other than crude ones; products not elsewhere named or included, containing 70 wt. % or more of petroleum or petroleum products, derived from bituminous rocks, these petroleum products being the major constituents of the products; waste petroleum products:</w:t>
            </w:r>
          </w:p>
          <w:p>
            <w:pPr>
              <w:spacing w:after="20"/>
              <w:ind w:left="20"/>
              <w:jc w:val="both"/>
            </w:pPr>
            <w:r>
              <w:rPr>
                <w:rFonts w:ascii="Times New Roman"/>
                <w:b w:val="false"/>
                <w:i w:val="false"/>
                <w:color w:val="000000"/>
                <w:sz w:val="20"/>
              </w:rPr>
              <w:t>
—crude oil and petroleum products (other than crude oil) derived from bituminous rocks, and products, not elsewhere named or included, containing 70 wt. % or more of crude oil or petroleum products derived from bituminous rocks, these petroleum products being the major constituents of the products, except those containing biodiesel and waste petroleum products:</w:t>
            </w:r>
          </w:p>
          <w:p>
            <w:pPr>
              <w:spacing w:after="20"/>
              <w:ind w:left="20"/>
              <w:jc w:val="both"/>
            </w:pPr>
            <w:r>
              <w:rPr>
                <w:rFonts w:ascii="Times New Roman"/>
                <w:b w:val="false"/>
                <w:i w:val="false"/>
                <w:color w:val="000000"/>
                <w:sz w:val="20"/>
              </w:rPr>
              <w:t>— — liquid fuels:</w:t>
            </w:r>
          </w:p>
          <w:p>
            <w:pPr>
              <w:spacing w:after="20"/>
              <w:ind w:left="20"/>
              <w:jc w:val="both"/>
            </w:pPr>
            <w:r>
              <w:rPr>
                <w:rFonts w:ascii="Times New Roman"/>
                <w:b w:val="false"/>
                <w:i w:val="false"/>
                <w:color w:val="000000"/>
                <w:sz w:val="20"/>
              </w:rPr>
              <w:t>— — — with sulfur content of more than 2,8 wt. %:</w:t>
            </w:r>
          </w:p>
          <w:p>
            <w:pPr>
              <w:spacing w:after="20"/>
              <w:ind w:left="20"/>
              <w:jc w:val="both"/>
            </w:pPr>
            <w:r>
              <w:rPr>
                <w:rFonts w:ascii="Times New Roman"/>
                <w:b w:val="false"/>
                <w:i w:val="false"/>
                <w:color w:val="000000"/>
                <w:sz w:val="20"/>
              </w:rPr>
              <w:t xml:space="preserve">— — — — fuel oils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coke, petroleum bitumen and other residues from refining of crude oil or petroleum products derived from bituminous rocks:</w:t>
            </w:r>
          </w:p>
          <w:p>
            <w:pPr>
              <w:spacing w:after="20"/>
              <w:ind w:left="20"/>
              <w:jc w:val="both"/>
            </w:pPr>
            <w:r>
              <w:rPr>
                <w:rFonts w:ascii="Times New Roman"/>
                <w:b w:val="false"/>
                <w:i w:val="false"/>
                <w:color w:val="000000"/>
                <w:sz w:val="20"/>
              </w:rPr>
              <w:t>
- petroleum bitumen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Cyclic alcohols and their halogenated, sulfated, nitrated or nitrosated derivatives:</w:t>
            </w:r>
          </w:p>
          <w:p>
            <w:pPr>
              <w:spacing w:after="20"/>
              <w:ind w:left="20"/>
              <w:jc w:val="both"/>
            </w:pPr>
            <w:r>
              <w:rPr>
                <w:rFonts w:ascii="Times New Roman"/>
                <w:b w:val="false"/>
                <w:i w:val="false"/>
                <w:color w:val="000000"/>
                <w:sz w:val="20"/>
              </w:rPr>
              <w:t>
- aromatic:</w:t>
            </w:r>
          </w:p>
          <w:p>
            <w:pPr>
              <w:spacing w:after="20"/>
              <w:ind w:left="20"/>
              <w:jc w:val="both"/>
            </w:pPr>
            <w:r>
              <w:rPr>
                <w:rFonts w:ascii="Times New Roman"/>
                <w:b w:val="false"/>
                <w:i w:val="false"/>
                <w:color w:val="000000"/>
                <w:sz w:val="20"/>
              </w:rPr>
              <w:t>
- benzyl alcohol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mixtures based on natural asphalt, natural bitumen, petroleum bitumen, mineral resins or mineral resin pitch (e.g., bituminous mastics, asphalt mixtures for road surfaces)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March15, 2024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