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a2a0" w14:textId="78ca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on the Commission for job referral of young specialists and doctors of philosophy (PhD)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DCM-77as of May 14, 2019. Registered with the Ministry of Justice of the Republic of Kazakhstan on May 16, 2019, No. 18681. Abolished by the order of the Acting Minister of Health of the Republic of Kazakhstan dated July 21, 2023 No. 135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Health of the Republic of Kazakhstan dated July 21, 2023 No. 135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7</w:t>
      </w:r>
      <w:r>
        <w:rPr>
          <w:rFonts w:ascii="Times New Roman"/>
          <w:b w:val="false"/>
          <w:i w:val="false"/>
          <w:color w:val="000000"/>
          <w:sz w:val="28"/>
        </w:rPr>
        <w:t xml:space="preserve"> of the Rules for the job referral of specialists, entitling them to independent job placement, release of citizens who studied within a state educational order from duty or termination of their obligation to work for a certain time period, which are approved by Decree No. 390 of the Government of the Republic of Kazakhstan as of March 30, 2012, I hereby ORDER: </w:t>
      </w:r>
    </w:p>
    <w:bookmarkStart w:name="z3" w:id="0"/>
    <w:p>
      <w:pPr>
        <w:spacing w:after="0"/>
        <w:ind w:left="0"/>
        <w:jc w:val="both"/>
      </w:pPr>
      <w:r>
        <w:rPr>
          <w:rFonts w:ascii="Times New Roman"/>
          <w:b w:val="false"/>
          <w:i w:val="false"/>
          <w:color w:val="000000"/>
          <w:sz w:val="28"/>
        </w:rPr>
        <w:t xml:space="preserve">
      1. To approve the </w:t>
      </w:r>
      <w:r>
        <w:rPr>
          <w:rFonts w:ascii="Times New Roman"/>
          <w:b w:val="false"/>
          <w:i w:val="false"/>
          <w:color w:val="000000"/>
          <w:sz w:val="28"/>
        </w:rPr>
        <w:t>Regulations</w:t>
      </w:r>
      <w:r>
        <w:rPr>
          <w:rFonts w:ascii="Times New Roman"/>
          <w:b w:val="false"/>
          <w:i w:val="false"/>
          <w:color w:val="000000"/>
          <w:sz w:val="28"/>
        </w:rPr>
        <w:t xml:space="preserve"> on the Commission for job referral of young specialists and doctors of philosophy (PhD), in accordance with the Appendix to this order.</w:t>
      </w:r>
    </w:p>
    <w:bookmarkEnd w:id="0"/>
    <w:bookmarkStart w:name="z4" w:id="1"/>
    <w:p>
      <w:pPr>
        <w:spacing w:after="0"/>
        <w:ind w:left="0"/>
        <w:jc w:val="both"/>
      </w:pPr>
      <w:r>
        <w:rPr>
          <w:rFonts w:ascii="Times New Roman"/>
          <w:b w:val="false"/>
          <w:i w:val="false"/>
          <w:color w:val="000000"/>
          <w:sz w:val="28"/>
        </w:rPr>
        <w:t>
      2. In accordance with the procedure established by the legislation of the Republic of Kazakhstan, the Department of Science and Human Resources of the Ministry of Healthcare of the Republic of Kazakhstan shall:</w:t>
      </w:r>
    </w:p>
    <w:bookmarkEnd w:id="1"/>
    <w:bookmarkStart w:name="z5" w:id="2"/>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xml:space="preserve">
      2) within ten calendar days of the state registration of this order, send its copy in Kazakh and Russian in paper-based and electronic forms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3"/>
    <w:bookmarkStart w:name="z7" w:id="4"/>
    <w:p>
      <w:pPr>
        <w:spacing w:after="0"/>
        <w:ind w:left="0"/>
        <w:jc w:val="both"/>
      </w:pPr>
      <w:r>
        <w:rPr>
          <w:rFonts w:ascii="Times New Roman"/>
          <w:b w:val="false"/>
          <w:i w:val="false"/>
          <w:color w:val="000000"/>
          <w:sz w:val="28"/>
        </w:rPr>
        <w:t>
      3) place this order on the website of the Ministry of Healthcare of the Republic of Kazakhstan after its official publication;</w:t>
      </w:r>
    </w:p>
    <w:bookmarkEnd w:id="4"/>
    <w:bookmarkStart w:name="z8" w:id="5"/>
    <w:p>
      <w:pPr>
        <w:spacing w:after="0"/>
        <w:ind w:left="0"/>
        <w:jc w:val="both"/>
      </w:pPr>
      <w:r>
        <w:rPr>
          <w:rFonts w:ascii="Times New Roman"/>
          <w:b w:val="false"/>
          <w:i w:val="false"/>
          <w:color w:val="000000"/>
          <w:sz w:val="28"/>
        </w:rPr>
        <w:t>
      4) within ten working days of the state registration of this order, submit information about the implementation of measures, provided for in subparagraphs 1), 2) and 3) of this paragraph, to the Legal Department of the Ministry of Healthcare of the Republic of Kazakhstan;</w:t>
      </w:r>
    </w:p>
    <w:bookmarkEnd w:id="5"/>
    <w:bookmarkStart w:name="z9" w:id="6"/>
    <w:p>
      <w:pPr>
        <w:spacing w:after="0"/>
        <w:ind w:left="0"/>
        <w:jc w:val="both"/>
      </w:pPr>
      <w:r>
        <w:rPr>
          <w:rFonts w:ascii="Times New Roman"/>
          <w:b w:val="false"/>
          <w:i w:val="false"/>
          <w:color w:val="000000"/>
          <w:sz w:val="28"/>
        </w:rPr>
        <w:t>
      3. The control over the execution of this order shall be assigned to the deputy minister of healthcare of the Republic of Kazakhstan, O.A.Abishev.</w:t>
      </w:r>
    </w:p>
    <w:bookmarkEnd w:id="6"/>
    <w:bookmarkStart w:name="z10" w:id="7"/>
    <w:p>
      <w:pPr>
        <w:spacing w:after="0"/>
        <w:ind w:left="0"/>
        <w:jc w:val="both"/>
      </w:pPr>
      <w:r>
        <w:rPr>
          <w:rFonts w:ascii="Times New Roman"/>
          <w:b w:val="false"/>
          <w:i w:val="false"/>
          <w:color w:val="000000"/>
          <w:sz w:val="28"/>
        </w:rPr>
        <w:t xml:space="preserve">
      4. This order shall take effect ten calendar days of its first official publication.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w:t>
            </w:r>
            <w:r>
              <w:br/>
            </w:r>
            <w:r>
              <w:rPr>
                <w:rFonts w:ascii="Times New Roman"/>
                <w:b w:val="false"/>
                <w:i w:val="false"/>
                <w:color w:val="000000"/>
                <w:sz w:val="20"/>
              </w:rPr>
              <w:t>Order № KR DCM-77</w:t>
            </w:r>
            <w:r>
              <w:br/>
            </w:r>
            <w:r>
              <w:rPr>
                <w:rFonts w:ascii="Times New Roman"/>
                <w:b w:val="false"/>
                <w:i w:val="false"/>
                <w:color w:val="000000"/>
                <w:sz w:val="20"/>
              </w:rPr>
              <w:t xml:space="preserve">as of May 14, 2019 </w:t>
            </w:r>
            <w:r>
              <w:br/>
            </w:r>
            <w:r>
              <w:rPr>
                <w:rFonts w:ascii="Times New Roman"/>
                <w:b w:val="false"/>
                <w:i w:val="false"/>
                <w:color w:val="000000"/>
                <w:sz w:val="20"/>
              </w:rPr>
              <w:t>of the Minister of Healthcare of the</w:t>
            </w:r>
            <w:r>
              <w:br/>
            </w:r>
            <w:r>
              <w:rPr>
                <w:rFonts w:ascii="Times New Roman"/>
                <w:b w:val="false"/>
                <w:i w:val="false"/>
                <w:color w:val="000000"/>
                <w:sz w:val="20"/>
              </w:rPr>
              <w:t>Republic of Kazakhstan</w:t>
            </w:r>
          </w:p>
        </w:tc>
      </w:tr>
    </w:tbl>
    <w:bookmarkStart w:name="z12" w:id="8"/>
    <w:p>
      <w:pPr>
        <w:spacing w:after="0"/>
        <w:ind w:left="0"/>
        <w:jc w:val="left"/>
      </w:pPr>
      <w:r>
        <w:rPr>
          <w:rFonts w:ascii="Times New Roman"/>
          <w:b/>
          <w:i w:val="false"/>
          <w:color w:val="000000"/>
        </w:rPr>
        <w:t xml:space="preserve"> Regulations on the Commission for job referral of young specialists and doctors</w:t>
      </w:r>
      <w:r>
        <w:br/>
      </w:r>
      <w:r>
        <w:rPr>
          <w:rFonts w:ascii="Times New Roman"/>
          <w:b/>
          <w:i w:val="false"/>
          <w:color w:val="000000"/>
        </w:rPr>
        <w:t>of philosophy (PhD)</w:t>
      </w:r>
      <w:r>
        <w:br/>
      </w:r>
      <w:r>
        <w:rPr>
          <w:rFonts w:ascii="Times New Roman"/>
          <w:b/>
          <w:i w:val="false"/>
          <w:color w:val="000000"/>
        </w:rPr>
        <w:t>Chapter 1. General provisions</w:t>
      </w:r>
    </w:p>
    <w:bookmarkEnd w:id="8"/>
    <w:bookmarkStart w:name="z13" w:id="9"/>
    <w:p>
      <w:pPr>
        <w:spacing w:after="0"/>
        <w:ind w:left="0"/>
        <w:jc w:val="both"/>
      </w:pPr>
      <w:r>
        <w:rPr>
          <w:rFonts w:ascii="Times New Roman"/>
          <w:b w:val="false"/>
          <w:i w:val="false"/>
          <w:color w:val="000000"/>
          <w:sz w:val="28"/>
        </w:rPr>
        <w:t xml:space="preserve">
      1. These Regulations on the Commission for job referral of young specialists and doctors of philosophy (PhD) (hereinafter referred to as the Regulations) establish the status and powers of the Commission for job referral of young specialists and doctors of philosophy (PhD), who were enrolled in medical specialties within the quota granted to citizens from among rural youth, and citizens who were enrolled in medical specialties within a state educational order (hereinafter referred to as the Commission). </w:t>
      </w:r>
    </w:p>
    <w:bookmarkEnd w:id="9"/>
    <w:bookmarkStart w:name="z14" w:id="10"/>
    <w:p>
      <w:pPr>
        <w:spacing w:after="0"/>
        <w:ind w:left="0"/>
        <w:jc w:val="both"/>
      </w:pPr>
      <w:r>
        <w:rPr>
          <w:rFonts w:ascii="Times New Roman"/>
          <w:b w:val="false"/>
          <w:i w:val="false"/>
          <w:color w:val="000000"/>
          <w:sz w:val="28"/>
        </w:rPr>
        <w:t>
      2. The following terms are used in these Regulations:</w:t>
      </w:r>
    </w:p>
    <w:bookmarkEnd w:id="10"/>
    <w:bookmarkStart w:name="z15" w:id="11"/>
    <w:p>
      <w:pPr>
        <w:spacing w:after="0"/>
        <w:ind w:left="0"/>
        <w:jc w:val="both"/>
      </w:pPr>
      <w:r>
        <w:rPr>
          <w:rFonts w:ascii="Times New Roman"/>
          <w:b w:val="false"/>
          <w:i w:val="false"/>
          <w:color w:val="000000"/>
          <w:sz w:val="28"/>
        </w:rPr>
        <w:t xml:space="preserve">
      1) the authorized body in the field of healthcare (hereinafter referred to as the authorized body) - the central executive body exercising leadership and intersectoral coordination in the field of public health protection, medical and pharmaceutical science, medical and pharmaceutical education, sanitary and epidemiological welfare of the population, turnover of pharmaceuticals and medical devices, quality control of medical services; </w:t>
      </w:r>
    </w:p>
    <w:bookmarkEnd w:id="11"/>
    <w:bookmarkStart w:name="z16" w:id="12"/>
    <w:p>
      <w:pPr>
        <w:spacing w:after="0"/>
        <w:ind w:left="0"/>
        <w:jc w:val="both"/>
      </w:pPr>
      <w:r>
        <w:rPr>
          <w:rFonts w:ascii="Times New Roman"/>
          <w:b w:val="false"/>
          <w:i w:val="false"/>
          <w:color w:val="000000"/>
          <w:sz w:val="28"/>
        </w:rPr>
        <w:t xml:space="preserve">
      2) a higher and (or) postgraduate educational institution (hereinafter referred to as the educational institution) - a higher educational institution that implements educational programs of higher and (or) postgraduate education and carries out research; </w:t>
      </w:r>
    </w:p>
    <w:bookmarkEnd w:id="12"/>
    <w:bookmarkStart w:name="z17" w:id="13"/>
    <w:p>
      <w:pPr>
        <w:spacing w:after="0"/>
        <w:ind w:left="0"/>
        <w:jc w:val="both"/>
      </w:pPr>
      <w:r>
        <w:rPr>
          <w:rFonts w:ascii="Times New Roman"/>
          <w:b w:val="false"/>
          <w:i w:val="false"/>
          <w:color w:val="000000"/>
          <w:sz w:val="28"/>
        </w:rPr>
        <w:t>
      3) a young specialist - a citizen trained in higher and postgraduate educational programs within a state educational order;</w:t>
      </w:r>
    </w:p>
    <w:bookmarkEnd w:id="13"/>
    <w:bookmarkStart w:name="z18" w:id="14"/>
    <w:p>
      <w:pPr>
        <w:spacing w:after="0"/>
        <w:ind w:left="0"/>
        <w:jc w:val="both"/>
      </w:pPr>
      <w:r>
        <w:rPr>
          <w:rFonts w:ascii="Times New Roman"/>
          <w:b w:val="false"/>
          <w:i w:val="false"/>
          <w:color w:val="000000"/>
          <w:sz w:val="28"/>
        </w:rPr>
        <w:t xml:space="preserve">
      4) Doctor of Philosophy (PhD) - degree awarded to persons who completed the doctoral program in scientific and pedagogical area and defended a thesis in the Republic of Kazakhstan or abroad, which is recognized in the manner established by the legislation of the Republic of Kazakhstan. </w:t>
      </w:r>
    </w:p>
    <w:bookmarkEnd w:id="14"/>
    <w:bookmarkStart w:name="z19" w:id="15"/>
    <w:p>
      <w:pPr>
        <w:spacing w:after="0"/>
        <w:ind w:left="0"/>
        <w:jc w:val="both"/>
      </w:pPr>
      <w:r>
        <w:rPr>
          <w:rFonts w:ascii="Times New Roman"/>
          <w:b w:val="false"/>
          <w:i w:val="false"/>
          <w:color w:val="000000"/>
          <w:sz w:val="28"/>
        </w:rPr>
        <w:t xml:space="preserve">
      3. The Commission is a consultative and advisory body set up by the authorized body. </w:t>
      </w:r>
    </w:p>
    <w:bookmarkEnd w:id="15"/>
    <w:bookmarkStart w:name="z20" w:id="16"/>
    <w:p>
      <w:pPr>
        <w:spacing w:after="0"/>
        <w:ind w:left="0"/>
        <w:jc w:val="both"/>
      </w:pPr>
      <w:r>
        <w:rPr>
          <w:rFonts w:ascii="Times New Roman"/>
          <w:b w:val="false"/>
          <w:i w:val="false"/>
          <w:color w:val="000000"/>
          <w:sz w:val="28"/>
        </w:rPr>
        <w:t xml:space="preserve">
      4. The Commission carries out its activities under the </w:t>
      </w:r>
      <w:r>
        <w:rPr>
          <w:rFonts w:ascii="Times New Roman"/>
          <w:b w:val="false"/>
          <w:i w:val="false"/>
          <w:color w:val="000000"/>
          <w:sz w:val="28"/>
        </w:rPr>
        <w:t>Law</w:t>
      </w:r>
      <w:r>
        <w:rPr>
          <w:rFonts w:ascii="Times New Roman"/>
          <w:b w:val="false"/>
          <w:i w:val="false"/>
          <w:color w:val="000000"/>
          <w:sz w:val="28"/>
        </w:rPr>
        <w:t xml:space="preserve"> of the Republic of Kazakhstan “On Education” as of July 27, 2007 (hereinafter referred to as the Law), the </w:t>
      </w:r>
      <w:r>
        <w:rPr>
          <w:rFonts w:ascii="Times New Roman"/>
          <w:b w:val="false"/>
          <w:i w:val="false"/>
          <w:color w:val="000000"/>
          <w:sz w:val="28"/>
        </w:rPr>
        <w:t>Rules</w:t>
      </w:r>
      <w:r>
        <w:rPr>
          <w:rFonts w:ascii="Times New Roman"/>
          <w:b w:val="false"/>
          <w:i w:val="false"/>
          <w:color w:val="000000"/>
          <w:sz w:val="28"/>
        </w:rPr>
        <w:t xml:space="preserve"> for the job referral of specialists, entitling them to independent job placement, release of citizens who studied within a state educational order from duty or termination of their obligation to work for a certain time period, which are approved by Decree No. 390 of the Government of the Republic of Kazakhstan as of March 30, 2012 (hereinafter referred to as the Rules), other regulatory legal acts and these Regulations. </w:t>
      </w:r>
    </w:p>
    <w:bookmarkEnd w:id="16"/>
    <w:bookmarkStart w:name="z21" w:id="17"/>
    <w:p>
      <w:pPr>
        <w:spacing w:after="0"/>
        <w:ind w:left="0"/>
        <w:jc w:val="left"/>
      </w:pPr>
      <w:r>
        <w:rPr>
          <w:rFonts w:ascii="Times New Roman"/>
          <w:b/>
          <w:i w:val="false"/>
          <w:color w:val="000000"/>
        </w:rPr>
        <w:t xml:space="preserve"> Chapter 2. The Commission’s tasks, functions and organizational activities</w:t>
      </w:r>
      <w:r>
        <w:br/>
      </w:r>
      <w:r>
        <w:rPr>
          <w:rFonts w:ascii="Times New Roman"/>
          <w:b/>
          <w:i w:val="false"/>
          <w:color w:val="000000"/>
        </w:rPr>
        <w:t>Clause 1. The Commission’s tasks and functions</w:t>
      </w:r>
    </w:p>
    <w:bookmarkEnd w:id="17"/>
    <w:bookmarkStart w:name="z22" w:id="18"/>
    <w:p>
      <w:pPr>
        <w:spacing w:after="0"/>
        <w:ind w:left="0"/>
        <w:jc w:val="both"/>
      </w:pPr>
      <w:r>
        <w:rPr>
          <w:rFonts w:ascii="Times New Roman"/>
          <w:b w:val="false"/>
          <w:i w:val="false"/>
          <w:color w:val="000000"/>
          <w:sz w:val="28"/>
        </w:rPr>
        <w:t xml:space="preserve">
      5. The task of the Commission is individual job referral of citizens who were enrolled in medical specialties within the quota granted to citizens from among rural youth and citizens who were enrolled medical specialties within a state educational order. </w:t>
      </w:r>
    </w:p>
    <w:bookmarkEnd w:id="18"/>
    <w:bookmarkStart w:name="z23" w:id="19"/>
    <w:p>
      <w:pPr>
        <w:spacing w:after="0"/>
        <w:ind w:left="0"/>
        <w:jc w:val="both"/>
      </w:pPr>
      <w:r>
        <w:rPr>
          <w:rFonts w:ascii="Times New Roman"/>
          <w:b w:val="false"/>
          <w:i w:val="false"/>
          <w:color w:val="000000"/>
          <w:sz w:val="28"/>
        </w:rPr>
        <w:t xml:space="preserve">
      6. To implement the tasks assigned to it, the Commission performs such functions as: </w:t>
      </w:r>
    </w:p>
    <w:bookmarkEnd w:id="19"/>
    <w:bookmarkStart w:name="z24" w:id="20"/>
    <w:p>
      <w:pPr>
        <w:spacing w:after="0"/>
        <w:ind w:left="0"/>
        <w:jc w:val="both"/>
      </w:pPr>
      <w:r>
        <w:rPr>
          <w:rFonts w:ascii="Times New Roman"/>
          <w:b w:val="false"/>
          <w:i w:val="false"/>
          <w:color w:val="000000"/>
          <w:sz w:val="28"/>
        </w:rPr>
        <w:t>
      1) the holding of meetings of the Commission for job referral of young specialists and doctors of philosophy (PhD);</w:t>
      </w:r>
    </w:p>
    <w:bookmarkEnd w:id="20"/>
    <w:bookmarkStart w:name="z25" w:id="21"/>
    <w:p>
      <w:pPr>
        <w:spacing w:after="0"/>
        <w:ind w:left="0"/>
        <w:jc w:val="both"/>
      </w:pPr>
      <w:r>
        <w:rPr>
          <w:rFonts w:ascii="Times New Roman"/>
          <w:b w:val="false"/>
          <w:i w:val="false"/>
          <w:color w:val="000000"/>
          <w:sz w:val="28"/>
        </w:rPr>
        <w:t xml:space="preserve">
      2) annual submission to local executive bodies of regions, cities of republican significance and the capital of an application, indicating the number of graduates, place of residence, specialty received and the language of study, for the provision of vacant jobs for subsequent employment of current-year graduates, who were enrolled within the quota granted to citizens from among rural youth and citizens who were enrolled medical specialties within a state educational order; </w:t>
      </w:r>
    </w:p>
    <w:bookmarkEnd w:id="21"/>
    <w:bookmarkStart w:name="z26" w:id="22"/>
    <w:p>
      <w:pPr>
        <w:spacing w:after="0"/>
        <w:ind w:left="0"/>
        <w:jc w:val="both"/>
      </w:pPr>
      <w:r>
        <w:rPr>
          <w:rFonts w:ascii="Times New Roman"/>
          <w:b w:val="false"/>
          <w:i w:val="false"/>
          <w:color w:val="000000"/>
          <w:sz w:val="28"/>
        </w:rPr>
        <w:t xml:space="preserve">
      3) annual submission to local executive bodies of regions, cities of republican significance and the capital of an application, indicating the number of graduates, place of residence, specialty received and the language of study, for the provision of vacant jobs for the subsequent employment of current-year graduates, who entered a PhD program within a state educational order; </w:t>
      </w:r>
    </w:p>
    <w:bookmarkEnd w:id="22"/>
    <w:bookmarkStart w:name="z27" w:id="23"/>
    <w:p>
      <w:pPr>
        <w:spacing w:after="0"/>
        <w:ind w:left="0"/>
        <w:jc w:val="both"/>
      </w:pPr>
      <w:r>
        <w:rPr>
          <w:rFonts w:ascii="Times New Roman"/>
          <w:b w:val="false"/>
          <w:i w:val="false"/>
          <w:color w:val="000000"/>
          <w:sz w:val="28"/>
        </w:rPr>
        <w:t xml:space="preserve">
      4) direct interaction with potential employers of young specialists and doctors of philosophy (PhD), who guarantee an open vacancy; </w:t>
      </w:r>
    </w:p>
    <w:bookmarkEnd w:id="23"/>
    <w:bookmarkStart w:name="z28" w:id="24"/>
    <w:p>
      <w:pPr>
        <w:spacing w:after="0"/>
        <w:ind w:left="0"/>
        <w:jc w:val="both"/>
      </w:pPr>
      <w:r>
        <w:rPr>
          <w:rFonts w:ascii="Times New Roman"/>
          <w:b w:val="false"/>
          <w:i w:val="false"/>
          <w:color w:val="000000"/>
          <w:sz w:val="28"/>
        </w:rPr>
        <w:t xml:space="preserve">
      5) adoption of one of the decisions in accordance with paragraph 12 of these Regulations; </w:t>
      </w:r>
    </w:p>
    <w:bookmarkEnd w:id="24"/>
    <w:bookmarkStart w:name="z29" w:id="25"/>
    <w:p>
      <w:pPr>
        <w:spacing w:after="0"/>
        <w:ind w:left="0"/>
        <w:jc w:val="both"/>
      </w:pPr>
      <w:r>
        <w:rPr>
          <w:rFonts w:ascii="Times New Roman"/>
          <w:b w:val="false"/>
          <w:i w:val="false"/>
          <w:color w:val="000000"/>
          <w:sz w:val="28"/>
        </w:rPr>
        <w:t xml:space="preserve">
      6) submission of decisions to medical educational and scientific institutions. </w:t>
      </w:r>
    </w:p>
    <w:bookmarkEnd w:id="25"/>
    <w:bookmarkStart w:name="z30" w:id="26"/>
    <w:p>
      <w:pPr>
        <w:spacing w:after="0"/>
        <w:ind w:left="0"/>
        <w:jc w:val="both"/>
      </w:pPr>
      <w:r>
        <w:rPr>
          <w:rFonts w:ascii="Times New Roman"/>
          <w:b w:val="false"/>
          <w:i w:val="false"/>
          <w:color w:val="000000"/>
          <w:sz w:val="28"/>
        </w:rPr>
        <w:t xml:space="preserve">
      Clause 2. Organizational activities </w:t>
      </w:r>
    </w:p>
    <w:bookmarkEnd w:id="26"/>
    <w:bookmarkStart w:name="z31" w:id="27"/>
    <w:p>
      <w:pPr>
        <w:spacing w:after="0"/>
        <w:ind w:left="0"/>
        <w:jc w:val="both"/>
      </w:pPr>
      <w:r>
        <w:rPr>
          <w:rFonts w:ascii="Times New Roman"/>
          <w:b w:val="false"/>
          <w:i w:val="false"/>
          <w:color w:val="000000"/>
          <w:sz w:val="28"/>
        </w:rPr>
        <w:t>
      7. The composition of the Commission is approved by order of the authorized body and includes at least nine people. The commission consists of chairperson, vice-chairperson, secretary and members, who are appointed annually. Members of the Commission elect a Chairperson who appoints a vice-chairperson and secretary. In the absence of the Chairperson, his/her functions are performed by his/her vice-chairperson. The secretary of the Commission is not involved in decision-making and is not its member.</w:t>
      </w:r>
    </w:p>
    <w:bookmarkEnd w:id="27"/>
    <w:bookmarkStart w:name="z32" w:id="28"/>
    <w:p>
      <w:pPr>
        <w:spacing w:after="0"/>
        <w:ind w:left="0"/>
        <w:jc w:val="both"/>
      </w:pPr>
      <w:r>
        <w:rPr>
          <w:rFonts w:ascii="Times New Roman"/>
          <w:b w:val="false"/>
          <w:i w:val="false"/>
          <w:color w:val="000000"/>
          <w:sz w:val="28"/>
        </w:rPr>
        <w:t>
      8. The secretary, who is directly subordinate to the chairperson of the Commission, prepares the agenda for a meeting, executes the minutes of the Commission’s meetings.</w:t>
      </w:r>
    </w:p>
    <w:bookmarkEnd w:id="28"/>
    <w:bookmarkStart w:name="z33" w:id="29"/>
    <w:p>
      <w:pPr>
        <w:spacing w:after="0"/>
        <w:ind w:left="0"/>
        <w:jc w:val="both"/>
      </w:pPr>
      <w:r>
        <w:rPr>
          <w:rFonts w:ascii="Times New Roman"/>
          <w:b w:val="false"/>
          <w:i w:val="false"/>
          <w:color w:val="000000"/>
          <w:sz w:val="28"/>
        </w:rPr>
        <w:t>
      9. The Commission consists of:</w:t>
      </w:r>
    </w:p>
    <w:bookmarkEnd w:id="29"/>
    <w:bookmarkStart w:name="z34" w:id="30"/>
    <w:p>
      <w:pPr>
        <w:spacing w:after="0"/>
        <w:ind w:left="0"/>
        <w:jc w:val="both"/>
      </w:pPr>
      <w:r>
        <w:rPr>
          <w:rFonts w:ascii="Times New Roman"/>
          <w:b w:val="false"/>
          <w:i w:val="false"/>
          <w:color w:val="000000"/>
          <w:sz w:val="28"/>
        </w:rPr>
        <w:t>
      1) representatives of the authorized body;</w:t>
      </w:r>
    </w:p>
    <w:bookmarkEnd w:id="30"/>
    <w:bookmarkStart w:name="z35" w:id="31"/>
    <w:p>
      <w:pPr>
        <w:spacing w:after="0"/>
        <w:ind w:left="0"/>
        <w:jc w:val="both"/>
      </w:pPr>
      <w:r>
        <w:rPr>
          <w:rFonts w:ascii="Times New Roman"/>
          <w:b w:val="false"/>
          <w:i w:val="false"/>
          <w:color w:val="000000"/>
          <w:sz w:val="28"/>
        </w:rPr>
        <w:t xml:space="preserve">
      2) a representative of the authorized body’s subordinate organization; </w:t>
      </w:r>
    </w:p>
    <w:bookmarkEnd w:id="31"/>
    <w:bookmarkStart w:name="z36" w:id="32"/>
    <w:p>
      <w:pPr>
        <w:spacing w:after="0"/>
        <w:ind w:left="0"/>
        <w:jc w:val="both"/>
      </w:pPr>
      <w:r>
        <w:rPr>
          <w:rFonts w:ascii="Times New Roman"/>
          <w:b w:val="false"/>
          <w:i w:val="false"/>
          <w:color w:val="000000"/>
          <w:sz w:val="28"/>
        </w:rPr>
        <w:t xml:space="preserve">
      3) a representative of the Atameken National Chamber of Entrepreneurs (as may be agreed); </w:t>
      </w:r>
    </w:p>
    <w:bookmarkEnd w:id="32"/>
    <w:bookmarkStart w:name="z37" w:id="33"/>
    <w:p>
      <w:pPr>
        <w:spacing w:after="0"/>
        <w:ind w:left="0"/>
        <w:jc w:val="both"/>
      </w:pPr>
      <w:r>
        <w:rPr>
          <w:rFonts w:ascii="Times New Roman"/>
          <w:b w:val="false"/>
          <w:i w:val="false"/>
          <w:color w:val="000000"/>
          <w:sz w:val="28"/>
        </w:rPr>
        <w:t>
      4) representatives of local executive bodies (as may be agreed);</w:t>
      </w:r>
    </w:p>
    <w:bookmarkEnd w:id="33"/>
    <w:bookmarkStart w:name="z38" w:id="34"/>
    <w:p>
      <w:pPr>
        <w:spacing w:after="0"/>
        <w:ind w:left="0"/>
        <w:jc w:val="both"/>
      </w:pPr>
      <w:r>
        <w:rPr>
          <w:rFonts w:ascii="Times New Roman"/>
          <w:b w:val="false"/>
          <w:i w:val="false"/>
          <w:color w:val="000000"/>
          <w:sz w:val="28"/>
        </w:rPr>
        <w:t xml:space="preserve">
      5) representatives of scientific organizations and educational institutions in the field of healthcare (as may be agreed); </w:t>
      </w:r>
    </w:p>
    <w:bookmarkEnd w:id="34"/>
    <w:bookmarkStart w:name="z39" w:id="35"/>
    <w:p>
      <w:pPr>
        <w:spacing w:after="0"/>
        <w:ind w:left="0"/>
        <w:jc w:val="both"/>
      </w:pPr>
      <w:r>
        <w:rPr>
          <w:rFonts w:ascii="Times New Roman"/>
          <w:b w:val="false"/>
          <w:i w:val="false"/>
          <w:color w:val="000000"/>
          <w:sz w:val="28"/>
        </w:rPr>
        <w:t xml:space="preserve">
      6) representatives of non-governmental organizations, including accredited associations of private business entities under the authorized body (as may be agreed); </w:t>
      </w:r>
    </w:p>
    <w:bookmarkEnd w:id="35"/>
    <w:bookmarkStart w:name="z40" w:id="36"/>
    <w:p>
      <w:pPr>
        <w:spacing w:after="0"/>
        <w:ind w:left="0"/>
        <w:jc w:val="both"/>
      </w:pPr>
      <w:r>
        <w:rPr>
          <w:rFonts w:ascii="Times New Roman"/>
          <w:b w:val="false"/>
          <w:i w:val="false"/>
          <w:color w:val="000000"/>
          <w:sz w:val="28"/>
        </w:rPr>
        <w:t>
      7) representatives of youth organizations (as may be agreed);</w:t>
      </w:r>
    </w:p>
    <w:bookmarkEnd w:id="36"/>
    <w:bookmarkStart w:name="z41" w:id="37"/>
    <w:p>
      <w:pPr>
        <w:spacing w:after="0"/>
        <w:ind w:left="0"/>
        <w:jc w:val="both"/>
      </w:pPr>
      <w:r>
        <w:rPr>
          <w:rFonts w:ascii="Times New Roman"/>
          <w:b w:val="false"/>
          <w:i w:val="false"/>
          <w:color w:val="000000"/>
          <w:sz w:val="28"/>
        </w:rPr>
        <w:t>
      8) representatives of public associations representing healthcare employees (as may be agreed).</w:t>
      </w:r>
    </w:p>
    <w:bookmarkEnd w:id="37"/>
    <w:bookmarkStart w:name="z42" w:id="38"/>
    <w:p>
      <w:pPr>
        <w:spacing w:after="0"/>
        <w:ind w:left="0"/>
        <w:jc w:val="both"/>
      </w:pPr>
      <w:r>
        <w:rPr>
          <w:rFonts w:ascii="Times New Roman"/>
          <w:b w:val="false"/>
          <w:i w:val="false"/>
          <w:color w:val="000000"/>
          <w:sz w:val="28"/>
        </w:rPr>
        <w:t>
      10. The Commission holds meetings as necessary and they are deemed competent if attended by at least two thirds of the total number of the Commission members.</w:t>
      </w:r>
    </w:p>
    <w:bookmarkEnd w:id="38"/>
    <w:bookmarkStart w:name="z43" w:id="39"/>
    <w:p>
      <w:pPr>
        <w:spacing w:after="0"/>
        <w:ind w:left="0"/>
        <w:jc w:val="both"/>
      </w:pPr>
      <w:r>
        <w:rPr>
          <w:rFonts w:ascii="Times New Roman"/>
          <w:b w:val="false"/>
          <w:i w:val="false"/>
          <w:color w:val="000000"/>
          <w:sz w:val="28"/>
        </w:rPr>
        <w:t xml:space="preserve">
      11. The date, time, agenda of meetings are determined by the Chairperson of the Commission with account of proposals from its members. </w:t>
      </w:r>
    </w:p>
    <w:bookmarkEnd w:id="39"/>
    <w:bookmarkStart w:name="z44" w:id="40"/>
    <w:p>
      <w:pPr>
        <w:spacing w:after="0"/>
        <w:ind w:left="0"/>
        <w:jc w:val="both"/>
      </w:pPr>
      <w:r>
        <w:rPr>
          <w:rFonts w:ascii="Times New Roman"/>
          <w:b w:val="false"/>
          <w:i w:val="false"/>
          <w:color w:val="000000"/>
          <w:sz w:val="28"/>
        </w:rPr>
        <w:t>
      12. If a quorum is present, the Commission shall decide by a simple majority of votes of attending members of the Commission by show of hands. If the vote is a tie, the casting vote belongs to the chairperson.</w:t>
      </w:r>
    </w:p>
    <w:bookmarkEnd w:id="40"/>
    <w:bookmarkStart w:name="z45" w:id="41"/>
    <w:p>
      <w:pPr>
        <w:spacing w:after="0"/>
        <w:ind w:left="0"/>
        <w:jc w:val="both"/>
      </w:pPr>
      <w:r>
        <w:rPr>
          <w:rFonts w:ascii="Times New Roman"/>
          <w:b w:val="false"/>
          <w:i w:val="false"/>
          <w:color w:val="000000"/>
          <w:sz w:val="28"/>
        </w:rPr>
        <w:t>
      13. The Commission takes one of the below indicated decisions:</w:t>
      </w:r>
    </w:p>
    <w:bookmarkEnd w:id="41"/>
    <w:bookmarkStart w:name="z46" w:id="42"/>
    <w:p>
      <w:pPr>
        <w:spacing w:after="0"/>
        <w:ind w:left="0"/>
        <w:jc w:val="both"/>
      </w:pPr>
      <w:r>
        <w:rPr>
          <w:rFonts w:ascii="Times New Roman"/>
          <w:b w:val="false"/>
          <w:i w:val="false"/>
          <w:color w:val="000000"/>
          <w:sz w:val="28"/>
        </w:rPr>
        <w:t xml:space="preserve">
      1) to release young specialists from duty to work for a certain time period, in accordance with </w:t>
      </w:r>
      <w:r>
        <w:rPr>
          <w:rFonts w:ascii="Times New Roman"/>
          <w:b w:val="false"/>
          <w:i w:val="false"/>
          <w:color w:val="000000"/>
          <w:sz w:val="28"/>
        </w:rPr>
        <w:t>paragraph 17-2</w:t>
      </w:r>
      <w:r>
        <w:rPr>
          <w:rFonts w:ascii="Times New Roman"/>
          <w:b w:val="false"/>
          <w:i w:val="false"/>
          <w:color w:val="000000"/>
          <w:sz w:val="28"/>
        </w:rPr>
        <w:t xml:space="preserve"> of Article 47 of the Law; </w:t>
      </w:r>
    </w:p>
    <w:bookmarkEnd w:id="42"/>
    <w:bookmarkStart w:name="z47" w:id="43"/>
    <w:p>
      <w:pPr>
        <w:spacing w:after="0"/>
        <w:ind w:left="0"/>
        <w:jc w:val="both"/>
      </w:pPr>
      <w:r>
        <w:rPr>
          <w:rFonts w:ascii="Times New Roman"/>
          <w:b w:val="false"/>
          <w:i w:val="false"/>
          <w:color w:val="000000"/>
          <w:sz w:val="28"/>
        </w:rPr>
        <w:t>
      2) to refer young specialists to work on the basis of an employer’s request;</w:t>
      </w:r>
    </w:p>
    <w:bookmarkEnd w:id="43"/>
    <w:bookmarkStart w:name="z48" w:id="44"/>
    <w:p>
      <w:pPr>
        <w:spacing w:after="0"/>
        <w:ind w:left="0"/>
        <w:jc w:val="both"/>
      </w:pPr>
      <w:r>
        <w:rPr>
          <w:rFonts w:ascii="Times New Roman"/>
          <w:b w:val="false"/>
          <w:i w:val="false"/>
          <w:color w:val="000000"/>
          <w:sz w:val="28"/>
        </w:rPr>
        <w:t>
      3) to refer doctors of philosophy (PhD) to work on the basis of requests for personnel from universities and scientific organizations;</w:t>
      </w:r>
    </w:p>
    <w:bookmarkEnd w:id="44"/>
    <w:bookmarkStart w:name="z49" w:id="45"/>
    <w:p>
      <w:pPr>
        <w:spacing w:after="0"/>
        <w:ind w:left="0"/>
        <w:jc w:val="both"/>
      </w:pPr>
      <w:r>
        <w:rPr>
          <w:rFonts w:ascii="Times New Roman"/>
          <w:b w:val="false"/>
          <w:i w:val="false"/>
          <w:color w:val="000000"/>
          <w:sz w:val="28"/>
        </w:rPr>
        <w:t>
      4) to refer young specialists and doctors of philosophy (Phd) to register as a jobseeker right at the employment center of the place of residence or through the “e-government” web-portal or the “Government for Citizens” State Corporation, in case of no open vacancies at the time of job referral.</w:t>
      </w:r>
    </w:p>
    <w:bookmarkEnd w:id="45"/>
    <w:bookmarkStart w:name="z50" w:id="46"/>
    <w:p>
      <w:pPr>
        <w:spacing w:after="0"/>
        <w:ind w:left="0"/>
        <w:jc w:val="both"/>
      </w:pPr>
      <w:r>
        <w:rPr>
          <w:rFonts w:ascii="Times New Roman"/>
          <w:b w:val="false"/>
          <w:i w:val="false"/>
          <w:color w:val="000000"/>
          <w:sz w:val="28"/>
        </w:rPr>
        <w:t>
      14. Young specialists and/or PhD holders, who failed to apply for a job before a specified deadline without a good reason, are referred to the remaining jobs by decision of the Commission.</w:t>
      </w:r>
    </w:p>
    <w:bookmarkEnd w:id="46"/>
    <w:bookmarkStart w:name="z51" w:id="47"/>
    <w:p>
      <w:pPr>
        <w:spacing w:after="0"/>
        <w:ind w:left="0"/>
        <w:jc w:val="both"/>
      </w:pPr>
      <w:r>
        <w:rPr>
          <w:rFonts w:ascii="Times New Roman"/>
          <w:b w:val="false"/>
          <w:i w:val="false"/>
          <w:color w:val="000000"/>
          <w:sz w:val="28"/>
        </w:rPr>
        <w:t>
      15. Decisions of the Commission are documented in minutes, which are signed by the chairperson and all members of the Commission.</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