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aee7" w14:textId="2a2a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terms for submission by second-tier banks and organizations, exercising certain types of bank transactions, of the information on opening and closing of current accounts for accounting for value added tax as well as on balances and money flows on such accounts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of the Prime Minister of the Republic of Kazakhstan - Minister of Finance of the Republic of Kazakhstan dated June 26, 2019 no. 634. Registered with the Ministry of Justice of the Republic of Kazakhstan on June 28, 2019 no. 18934. Abolished by the Order of the Minister of Finance of the Republic of Kazakhstan dated 03/25/2022 No. 306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Minister of Finance of the Republic of Kazakhstan dated 03/25/2022 No. 306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sub-clause 18) of article 24 of the Code of the Republic of Kazakhstan dated December 25, 2017 "On taxes and other obligatory payments to the budget (Tax Code)" I HEREBY ORDER:</w:t>
      </w:r>
    </w:p>
    <w:bookmarkStart w:name="z3" w:id="0"/>
    <w:p>
      <w:pPr>
        <w:spacing w:after="0"/>
        <w:ind w:left="0"/>
        <w:jc w:val="both"/>
      </w:pPr>
      <w:r>
        <w:rPr>
          <w:rFonts w:ascii="Times New Roman"/>
          <w:b w:val="false"/>
          <w:i w:val="false"/>
          <w:color w:val="000000"/>
          <w:sz w:val="28"/>
        </w:rPr>
        <w:t>
      1. To approve the attached Rules and terms for submission by second-tier banks and organizations, exercising certain types of bank transactions, of the information on opening and closing of current accounts for accounting for value added tax as well as on balances and money flows on such accounts.</w:t>
      </w:r>
    </w:p>
    <w:bookmarkEnd w:id="0"/>
    <w:bookmarkStart w:name="z4" w:id="1"/>
    <w:p>
      <w:pPr>
        <w:spacing w:after="0"/>
        <w:ind w:left="0"/>
        <w:jc w:val="both"/>
      </w:pPr>
      <w:r>
        <w:rPr>
          <w:rFonts w:ascii="Times New Roman"/>
          <w:b w:val="false"/>
          <w:i w:val="false"/>
          <w:color w:val="000000"/>
          <w:sz w:val="28"/>
        </w:rPr>
        <w:t>
      2. The State Revenue Committee of the Ministry of Finance of the Republic of Kazakhstan in accordance with the procedure established by the legislation of the Republic of Kazakhstan shall ensure:</w:t>
      </w:r>
    </w:p>
    <w:bookmarkEnd w:id="1"/>
    <w:bookmarkStart w:name="z5" w:id="2"/>
    <w:p>
      <w:pPr>
        <w:spacing w:after="0"/>
        <w:ind w:left="0"/>
        <w:jc w:val="both"/>
      </w:pPr>
      <w:r>
        <w:rPr>
          <w:rFonts w:ascii="Times New Roman"/>
          <w:b w:val="false"/>
          <w:i w:val="false"/>
          <w:color w:val="000000"/>
          <w:sz w:val="28"/>
        </w:rPr>
        <w:t>
      1)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2) within ten calendar days from the date of state registration of this order, direction of it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3"/>
    <w:bookmarkStart w:name="z7" w:id="4"/>
    <w:p>
      <w:pPr>
        <w:spacing w:after="0"/>
        <w:ind w:left="0"/>
        <w:jc w:val="both"/>
      </w:pPr>
      <w:r>
        <w:rPr>
          <w:rFonts w:ascii="Times New Roman"/>
          <w:b w:val="false"/>
          <w:i w:val="false"/>
          <w:color w:val="000000"/>
          <w:sz w:val="28"/>
        </w:rPr>
        <w:t>
      3) posting this order on the Internet resource of the Ministry of Finance of the Republic of Kazakhstan;</w:t>
      </w:r>
    </w:p>
    <w:bookmarkEnd w:id="4"/>
    <w:bookmarkStart w:name="z8" w:id="5"/>
    <w:p>
      <w:pPr>
        <w:spacing w:after="0"/>
        <w:ind w:left="0"/>
        <w:jc w:val="both"/>
      </w:pPr>
      <w:r>
        <w:rPr>
          <w:rFonts w:ascii="Times New Roman"/>
          <w:b w:val="false"/>
          <w:i w:val="false"/>
          <w:color w:val="000000"/>
          <w:sz w:val="28"/>
        </w:rPr>
        <w:t>
      4) within ten working days from the state registration of this order with the Ministry of Justice of the Republic of Kazakhstan, submission to the Department of Legal Service of the Ministry of Finance of the Republic of Kazakhstan of information about implementation of measures provided for by sub-clauses 1), 2) and 3) of this clause.</w:t>
      </w:r>
    </w:p>
    <w:bookmarkEnd w:id="5"/>
    <w:bookmarkStart w:name="z9" w:id="6"/>
    <w:p>
      <w:pPr>
        <w:spacing w:after="0"/>
        <w:ind w:left="0"/>
        <w:jc w:val="both"/>
      </w:pPr>
      <w:r>
        <w:rPr>
          <w:rFonts w:ascii="Times New Roman"/>
          <w:b w:val="false"/>
          <w:i w:val="false"/>
          <w:color w:val="000000"/>
          <w:sz w:val="28"/>
        </w:rPr>
        <w:t>
      3. This order shall come into force upon expiry of ten calendar days from the date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National Bank</w:t>
      </w:r>
    </w:p>
    <w:p>
      <w:pPr>
        <w:spacing w:after="0"/>
        <w:ind w:left="0"/>
        <w:jc w:val="both"/>
      </w:pPr>
      <w:r>
        <w:rPr>
          <w:rFonts w:ascii="Times New Roman"/>
          <w:b w:val="false"/>
          <w:i w:val="false"/>
          <w:color w:val="000000"/>
          <w:sz w:val="28"/>
        </w:rPr>
        <w:t xml:space="preserv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First Deputy of the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June 26, 2019 no. 634</w:t>
            </w:r>
          </w:p>
        </w:tc>
      </w:tr>
    </w:tbl>
    <w:bookmarkStart w:name="z11" w:id="7"/>
    <w:p>
      <w:pPr>
        <w:spacing w:after="0"/>
        <w:ind w:left="0"/>
        <w:jc w:val="left"/>
      </w:pPr>
      <w:r>
        <w:rPr>
          <w:rFonts w:ascii="Times New Roman"/>
          <w:b/>
          <w:i w:val="false"/>
          <w:color w:val="000000"/>
        </w:rPr>
        <w:t xml:space="preserve"> Rules and terms for submission by second-tier banks and organizations, exercising certain</w:t>
      </w:r>
      <w:r>
        <w:br/>
      </w:r>
      <w:r>
        <w:rPr>
          <w:rFonts w:ascii="Times New Roman"/>
          <w:b/>
          <w:i w:val="false"/>
          <w:color w:val="000000"/>
        </w:rPr>
        <w:t>types of bank transactions, of the information on opening and closing of current accounts for</w:t>
      </w:r>
      <w:r>
        <w:br/>
      </w:r>
      <w:r>
        <w:rPr>
          <w:rFonts w:ascii="Times New Roman"/>
          <w:b/>
          <w:i w:val="false"/>
          <w:color w:val="000000"/>
        </w:rPr>
        <w:t>accounting for value added tax as well as on balances and money flows on such accounts</w:t>
      </w:r>
    </w:p>
    <w:bookmarkEnd w:id="7"/>
    <w:bookmarkStart w:name="z12" w:id="8"/>
    <w:p>
      <w:pPr>
        <w:spacing w:after="0"/>
        <w:ind w:left="0"/>
        <w:jc w:val="left"/>
      </w:pPr>
      <w:r>
        <w:rPr>
          <w:rFonts w:ascii="Times New Roman"/>
          <w:b/>
          <w:i w:val="false"/>
          <w:color w:val="000000"/>
        </w:rPr>
        <w:t xml:space="preserve"> Chapter 1. General provisions</w:t>
      </w:r>
    </w:p>
    <w:bookmarkEnd w:id="8"/>
    <w:bookmarkStart w:name="z13" w:id="9"/>
    <w:p>
      <w:pPr>
        <w:spacing w:after="0"/>
        <w:ind w:left="0"/>
        <w:jc w:val="both"/>
      </w:pPr>
      <w:r>
        <w:rPr>
          <w:rFonts w:ascii="Times New Roman"/>
          <w:b w:val="false"/>
          <w:i w:val="false"/>
          <w:color w:val="000000"/>
          <w:sz w:val="28"/>
        </w:rPr>
        <w:t>
      1. These Rules and terms for submission by second-tier banks and organizations, exercising certain types of bank transactions, of the information on opening and closing of current accounts for accounting for value added tax as well as on balances and money flows on such accounts (hereinafter referred to as the Rules) have been developed in accordance with sub-clause 18) of article 24 of the Code of the Republic of Kazakhstan dated December 25, 2017 "On taxes and other obligatory payments to the budget (Tax Code)" and shall determine the procedure and terms for submission by the second-tier banks and organizations, exercising certain types of bank transactions, of the information on opening and closing of current accounts for accounting for value added tax as well as on balances and money flows on such accounts (hereinafter referred to as the Information).</w:t>
      </w:r>
    </w:p>
    <w:bookmarkEnd w:id="9"/>
    <w:bookmarkStart w:name="z14" w:id="10"/>
    <w:p>
      <w:pPr>
        <w:spacing w:after="0"/>
        <w:ind w:left="0"/>
        <w:jc w:val="both"/>
      </w:pPr>
      <w:r>
        <w:rPr>
          <w:rFonts w:ascii="Times New Roman"/>
          <w:b w:val="false"/>
          <w:i w:val="false"/>
          <w:color w:val="000000"/>
          <w:sz w:val="28"/>
        </w:rPr>
        <w:t>
      2. the control account of value added tax shall be a bank account opened by a payer of value added tax with the Banks in the territory of the Republic of Kazakhstan, used for accounting the flows on value added tax.</w:t>
      </w:r>
    </w:p>
    <w:bookmarkEnd w:id="10"/>
    <w:bookmarkStart w:name="z15" w:id="11"/>
    <w:p>
      <w:pPr>
        <w:spacing w:after="0"/>
        <w:ind w:left="0"/>
        <w:jc w:val="left"/>
      </w:pPr>
      <w:r>
        <w:rPr>
          <w:rFonts w:ascii="Times New Roman"/>
          <w:b/>
          <w:i w:val="false"/>
          <w:color w:val="000000"/>
        </w:rPr>
        <w:t xml:space="preserve"> Chapter 2. Procedure and terms for submission the Information</w:t>
      </w:r>
    </w:p>
    <w:bookmarkEnd w:id="11"/>
    <w:bookmarkStart w:name="z16" w:id="12"/>
    <w:p>
      <w:pPr>
        <w:spacing w:after="0"/>
        <w:ind w:left="0"/>
        <w:jc w:val="both"/>
      </w:pPr>
      <w:r>
        <w:rPr>
          <w:rFonts w:ascii="Times New Roman"/>
          <w:b w:val="false"/>
          <w:i w:val="false"/>
          <w:color w:val="000000"/>
          <w:sz w:val="28"/>
        </w:rPr>
        <w:t>
      3. The Banks shall submit to the State Revenue Committee of the Ministry of Finance of the Republic of Kazakhstan (hereinafter referred to as the Committee) confirmed Information according to annexes 1, 2, 3 to these Rules, indicating a unique identification code, during working days at least once every two hours.</w:t>
      </w:r>
    </w:p>
    <w:bookmarkEnd w:id="12"/>
    <w:bookmarkStart w:name="z17" w:id="13"/>
    <w:p>
      <w:pPr>
        <w:spacing w:after="0"/>
        <w:ind w:left="0"/>
        <w:jc w:val="both"/>
      </w:pPr>
      <w:r>
        <w:rPr>
          <w:rFonts w:ascii="Times New Roman"/>
          <w:b w:val="false"/>
          <w:i w:val="false"/>
          <w:color w:val="000000"/>
          <w:sz w:val="28"/>
        </w:rPr>
        <w:t>
      The Banks for the submission of Information shall carry out interaction of their information systems with "VAT-Blockchain" information system of the Committee, in accordance with the procedure established by the Law of the Republic of Kazakhstan dated November 24, 2015 "On Informatization".</w:t>
      </w:r>
    </w:p>
    <w:bookmarkEnd w:id="13"/>
    <w:bookmarkStart w:name="z18" w:id="14"/>
    <w:p>
      <w:pPr>
        <w:spacing w:after="0"/>
        <w:ind w:left="0"/>
        <w:jc w:val="both"/>
      </w:pPr>
      <w:r>
        <w:rPr>
          <w:rFonts w:ascii="Times New Roman"/>
          <w:b w:val="false"/>
          <w:i w:val="false"/>
          <w:color w:val="000000"/>
          <w:sz w:val="28"/>
        </w:rPr>
        <w:t>
      The electronic interaction format shall be determined by the Agreement on implementation of integration of information systems of second-tier banks and "VAT-Blockchain" information system of the Committee, concluded in accordance with the Rules for integration of the objects of informatization of "electronic government", approved by the order of the acting Minister of Information and Communications of the Republic of Kazakhstan dated March 29, 2018 no. 123 (registered with the Register of State Registration of Regulatory Legal Acts under no. 16777).</w:t>
      </w:r>
    </w:p>
    <w:bookmarkEnd w:id="14"/>
    <w:bookmarkStart w:name="z19" w:id="15"/>
    <w:p>
      <w:pPr>
        <w:spacing w:after="0"/>
        <w:ind w:left="0"/>
        <w:jc w:val="both"/>
      </w:pPr>
      <w:r>
        <w:rPr>
          <w:rFonts w:ascii="Times New Roman"/>
          <w:b w:val="false"/>
          <w:i w:val="false"/>
          <w:color w:val="000000"/>
          <w:sz w:val="28"/>
        </w:rPr>
        <w:t>
      The Information submitted shall be certified by electronic digital signature of the person authorized for submission of information or a deputy person.</w:t>
      </w:r>
    </w:p>
    <w:bookmarkEnd w:id="15"/>
    <w:bookmarkStart w:name="z20" w:id="16"/>
    <w:p>
      <w:pPr>
        <w:spacing w:after="0"/>
        <w:ind w:left="0"/>
        <w:jc w:val="both"/>
      </w:pPr>
      <w:r>
        <w:rPr>
          <w:rFonts w:ascii="Times New Roman"/>
          <w:b w:val="false"/>
          <w:i w:val="false"/>
          <w:color w:val="000000"/>
          <w:sz w:val="28"/>
        </w:rPr>
        <w:t>
      If it is impossible to submit Information due to technical problems, including the deadlines established by clause 3 of these Rules, the Banks, after eliminating technical problems, shall submit the Information accumulated from the moment technical problems arose and until they are eliminated.</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and terms for</w:t>
            </w:r>
            <w:r>
              <w:br/>
            </w:r>
            <w:r>
              <w:rPr>
                <w:rFonts w:ascii="Times New Roman"/>
                <w:b w:val="false"/>
                <w:i w:val="false"/>
                <w:color w:val="000000"/>
                <w:sz w:val="20"/>
              </w:rPr>
              <w:t>submission by second-tier banks</w:t>
            </w:r>
            <w:r>
              <w:br/>
            </w:r>
            <w:r>
              <w:rPr>
                <w:rFonts w:ascii="Times New Roman"/>
                <w:b w:val="false"/>
                <w:i w:val="false"/>
                <w:color w:val="000000"/>
                <w:sz w:val="20"/>
              </w:rPr>
              <w:t>and organizations, exercising</w:t>
            </w:r>
            <w:r>
              <w:br/>
            </w:r>
            <w:r>
              <w:rPr>
                <w:rFonts w:ascii="Times New Roman"/>
                <w:b w:val="false"/>
                <w:i w:val="false"/>
                <w:color w:val="000000"/>
                <w:sz w:val="20"/>
              </w:rPr>
              <w:t>certain types of bank transactions,</w:t>
            </w:r>
            <w:r>
              <w:br/>
            </w:r>
            <w:r>
              <w:rPr>
                <w:rFonts w:ascii="Times New Roman"/>
                <w:b w:val="false"/>
                <w:i w:val="false"/>
                <w:color w:val="000000"/>
                <w:sz w:val="20"/>
              </w:rPr>
              <w:t>of the information on opening and</w:t>
            </w:r>
            <w:r>
              <w:br/>
            </w:r>
            <w:r>
              <w:rPr>
                <w:rFonts w:ascii="Times New Roman"/>
                <w:b w:val="false"/>
                <w:i w:val="false"/>
                <w:color w:val="000000"/>
                <w:sz w:val="20"/>
              </w:rPr>
              <w:t>closing of current accounts for</w:t>
            </w:r>
            <w:r>
              <w:br/>
            </w:r>
            <w:r>
              <w:rPr>
                <w:rFonts w:ascii="Times New Roman"/>
                <w:b w:val="false"/>
                <w:i w:val="false"/>
                <w:color w:val="000000"/>
                <w:sz w:val="20"/>
              </w:rPr>
              <w:t>accounting for value added tax as</w:t>
            </w:r>
            <w:r>
              <w:br/>
            </w:r>
            <w:r>
              <w:rPr>
                <w:rFonts w:ascii="Times New Roman"/>
                <w:b w:val="false"/>
                <w:i w:val="false"/>
                <w:color w:val="000000"/>
                <w:sz w:val="20"/>
              </w:rPr>
              <w:t>well as on balances and money</w:t>
            </w:r>
            <w:r>
              <w:br/>
            </w:r>
            <w:r>
              <w:rPr>
                <w:rFonts w:ascii="Times New Roman"/>
                <w:b w:val="false"/>
                <w:i w:val="false"/>
                <w:color w:val="000000"/>
                <w:sz w:val="20"/>
              </w:rPr>
              <w:t>flows on such accounts</w:t>
            </w:r>
          </w:p>
        </w:tc>
      </w:tr>
    </w:tbl>
    <w:bookmarkStart w:name="z22" w:id="17"/>
    <w:p>
      <w:pPr>
        <w:spacing w:after="0"/>
        <w:ind w:left="0"/>
        <w:jc w:val="left"/>
      </w:pPr>
      <w:r>
        <w:rPr>
          <w:rFonts w:ascii="Times New Roman"/>
          <w:b/>
          <w:i w:val="false"/>
          <w:color w:val="000000"/>
        </w:rPr>
        <w:t xml:space="preserve"> Information about opening and closing a control account</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Number(hereinafter referred to as the IIN)/ Business Identification Number (hereinafter referred to as the BIN) of the holder of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account number (IBAN)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account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account status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account is opened,</w:t>
            </w:r>
          </w:p>
          <w:p>
            <w:pPr>
              <w:spacing w:after="20"/>
              <w:ind w:left="20"/>
              <w:jc w:val="both"/>
            </w:pPr>
            <w:r>
              <w:rPr>
                <w:rFonts w:ascii="Times New Roman"/>
                <w:b w:val="false"/>
                <w:i w:val="false"/>
                <w:color w:val="000000"/>
                <w:sz w:val="20"/>
              </w:rPr>
              <w:t>
2 – account is closed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opening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closing the control account (to be indicated only for closed control accounts)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 of the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transaction on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opening the account,</w:t>
            </w:r>
          </w:p>
          <w:p>
            <w:pPr>
              <w:spacing w:after="20"/>
              <w:ind w:left="20"/>
              <w:jc w:val="both"/>
            </w:pPr>
            <w:r>
              <w:rPr>
                <w:rFonts w:ascii="Times New Roman"/>
                <w:b w:val="false"/>
                <w:i w:val="false"/>
                <w:color w:val="000000"/>
                <w:sz w:val="20"/>
              </w:rPr>
              <w:t>
2– closing the account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agreement on bank account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agreement on bank account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w:t>
            </w:r>
          </w:p>
        </w:tc>
      </w:tr>
    </w:tbl>
    <w:bookmarkStart w:name="z23" w:id="18"/>
    <w:p>
      <w:pPr>
        <w:spacing w:after="0"/>
        <w:ind w:left="0"/>
        <w:jc w:val="both"/>
      </w:pPr>
      <w:r>
        <w:rPr>
          <w:rFonts w:ascii="Times New Roman"/>
          <w:b w:val="false"/>
          <w:i w:val="false"/>
          <w:color w:val="000000"/>
          <w:sz w:val="28"/>
        </w:rPr>
        <w:t>
      Note description of abbreviations:</w:t>
      </w:r>
    </w:p>
    <w:bookmarkEnd w:id="18"/>
    <w:bookmarkStart w:name="z24" w:id="19"/>
    <w:p>
      <w:pPr>
        <w:spacing w:after="0"/>
        <w:ind w:left="0"/>
        <w:jc w:val="both"/>
      </w:pPr>
      <w:r>
        <w:rPr>
          <w:rFonts w:ascii="Times New Roman"/>
          <w:b w:val="false"/>
          <w:i w:val="false"/>
          <w:color w:val="000000"/>
          <w:sz w:val="28"/>
        </w:rPr>
        <w:t>
      BIN – Business Identification Number</w:t>
      </w:r>
    </w:p>
    <w:bookmarkEnd w:id="19"/>
    <w:bookmarkStart w:name="z25" w:id="20"/>
    <w:p>
      <w:pPr>
        <w:spacing w:after="0"/>
        <w:ind w:left="0"/>
        <w:jc w:val="both"/>
      </w:pPr>
      <w:r>
        <w:rPr>
          <w:rFonts w:ascii="Times New Roman"/>
          <w:b w:val="false"/>
          <w:i w:val="false"/>
          <w:color w:val="000000"/>
          <w:sz w:val="28"/>
        </w:rPr>
        <w:t>
      IIN – Individual Identification Number</w:t>
      </w:r>
    </w:p>
    <w:bookmarkEnd w:id="20"/>
    <w:bookmarkStart w:name="z26" w:id="21"/>
    <w:p>
      <w:pPr>
        <w:spacing w:after="0"/>
        <w:ind w:left="0"/>
        <w:jc w:val="both"/>
      </w:pPr>
      <w:r>
        <w:rPr>
          <w:rFonts w:ascii="Times New Roman"/>
          <w:b w:val="false"/>
          <w:i w:val="false"/>
          <w:color w:val="000000"/>
          <w:sz w:val="28"/>
        </w:rPr>
        <w:t>
      BIC – Bank Identification Code</w:t>
      </w:r>
    </w:p>
    <w:bookmarkEnd w:id="21"/>
    <w:bookmarkStart w:name="z27" w:id="22"/>
    <w:p>
      <w:pPr>
        <w:spacing w:after="0"/>
        <w:ind w:left="0"/>
        <w:jc w:val="both"/>
      </w:pPr>
      <w:r>
        <w:rPr>
          <w:rFonts w:ascii="Times New Roman"/>
          <w:b w:val="false"/>
          <w:i w:val="false"/>
          <w:color w:val="000000"/>
          <w:sz w:val="28"/>
        </w:rPr>
        <w:t>
      YYYY-MM-DDThh:mm:ssZ – year/month/day/hour/minute/second/time zone</w:t>
      </w:r>
    </w:p>
    <w:bookmarkEnd w:id="22"/>
    <w:bookmarkStart w:name="z28" w:id="23"/>
    <w:p>
      <w:pPr>
        <w:spacing w:after="0"/>
        <w:ind w:left="0"/>
        <w:jc w:val="both"/>
      </w:pPr>
      <w:r>
        <w:rPr>
          <w:rFonts w:ascii="Times New Roman"/>
          <w:b w:val="false"/>
          <w:i w:val="false"/>
          <w:color w:val="000000"/>
          <w:sz w:val="28"/>
        </w:rPr>
        <w:t>
      BCC – Budget Classification Code</w:t>
      </w:r>
    </w:p>
    <w:bookmarkEnd w:id="23"/>
    <w:bookmarkStart w:name="z29" w:id="24"/>
    <w:p>
      <w:pPr>
        <w:spacing w:after="0"/>
        <w:ind w:left="0"/>
        <w:jc w:val="both"/>
      </w:pPr>
      <w:r>
        <w:rPr>
          <w:rFonts w:ascii="Times New Roman"/>
          <w:b w:val="false"/>
          <w:i w:val="false"/>
          <w:color w:val="000000"/>
          <w:sz w:val="28"/>
        </w:rPr>
        <w:t>
      PPC – Payment Purpose Code</w:t>
      </w:r>
    </w:p>
    <w:bookmarkEnd w:id="24"/>
    <w:bookmarkStart w:name="z30" w:id="25"/>
    <w:p>
      <w:pPr>
        <w:spacing w:after="0"/>
        <w:ind w:left="0"/>
        <w:jc w:val="both"/>
      </w:pPr>
      <w:r>
        <w:rPr>
          <w:rFonts w:ascii="Times New Roman"/>
          <w:b w:val="false"/>
          <w:i w:val="false"/>
          <w:color w:val="000000"/>
          <w:sz w:val="28"/>
        </w:rPr>
        <w:t>
      IBAN – bank account number</w:t>
      </w:r>
    </w:p>
    <w:bookmarkEnd w:id="25"/>
    <w:bookmarkStart w:name="z31" w:id="26"/>
    <w:p>
      <w:pPr>
        <w:spacing w:after="0"/>
        <w:ind w:left="0"/>
        <w:jc w:val="both"/>
      </w:pPr>
      <w:r>
        <w:rPr>
          <w:rFonts w:ascii="Times New Roman"/>
          <w:b w:val="false"/>
          <w:i w:val="false"/>
          <w:color w:val="000000"/>
          <w:sz w:val="28"/>
        </w:rPr>
        <w:t>
      ID – unique identification code</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and terms for</w:t>
            </w:r>
            <w:r>
              <w:br/>
            </w:r>
            <w:r>
              <w:rPr>
                <w:rFonts w:ascii="Times New Roman"/>
                <w:b w:val="false"/>
                <w:i w:val="false"/>
                <w:color w:val="000000"/>
                <w:sz w:val="20"/>
              </w:rPr>
              <w:t>submission by second-tier banks</w:t>
            </w:r>
            <w:r>
              <w:br/>
            </w:r>
            <w:r>
              <w:rPr>
                <w:rFonts w:ascii="Times New Roman"/>
                <w:b w:val="false"/>
                <w:i w:val="false"/>
                <w:color w:val="000000"/>
                <w:sz w:val="20"/>
              </w:rPr>
              <w:t>and organizations, exercising</w:t>
            </w:r>
            <w:r>
              <w:br/>
            </w:r>
            <w:r>
              <w:rPr>
                <w:rFonts w:ascii="Times New Roman"/>
                <w:b w:val="false"/>
                <w:i w:val="false"/>
                <w:color w:val="000000"/>
                <w:sz w:val="20"/>
              </w:rPr>
              <w:t>certain types of bank transactions,</w:t>
            </w:r>
            <w:r>
              <w:br/>
            </w:r>
            <w:r>
              <w:rPr>
                <w:rFonts w:ascii="Times New Roman"/>
                <w:b w:val="false"/>
                <w:i w:val="false"/>
                <w:color w:val="000000"/>
                <w:sz w:val="20"/>
              </w:rPr>
              <w:t>of the information on opening and</w:t>
            </w:r>
            <w:r>
              <w:br/>
            </w:r>
            <w:r>
              <w:rPr>
                <w:rFonts w:ascii="Times New Roman"/>
                <w:b w:val="false"/>
                <w:i w:val="false"/>
                <w:color w:val="000000"/>
                <w:sz w:val="20"/>
              </w:rPr>
              <w:t>closing of current accounts for</w:t>
            </w:r>
            <w:r>
              <w:br/>
            </w:r>
            <w:r>
              <w:rPr>
                <w:rFonts w:ascii="Times New Roman"/>
                <w:b w:val="false"/>
                <w:i w:val="false"/>
                <w:color w:val="000000"/>
                <w:sz w:val="20"/>
              </w:rPr>
              <w:t>accounting for value added tax as</w:t>
            </w:r>
            <w:r>
              <w:br/>
            </w:r>
            <w:r>
              <w:rPr>
                <w:rFonts w:ascii="Times New Roman"/>
                <w:b w:val="false"/>
                <w:i w:val="false"/>
                <w:color w:val="000000"/>
                <w:sz w:val="20"/>
              </w:rPr>
              <w:t>well as on balances and money</w:t>
            </w:r>
            <w:r>
              <w:br/>
            </w:r>
            <w:r>
              <w:rPr>
                <w:rFonts w:ascii="Times New Roman"/>
                <w:b w:val="false"/>
                <w:i w:val="false"/>
                <w:color w:val="000000"/>
                <w:sz w:val="20"/>
              </w:rPr>
              <w:t>flows on such accounts</w:t>
            </w:r>
          </w:p>
        </w:tc>
      </w:tr>
    </w:tbl>
    <w:bookmarkStart w:name="z33" w:id="27"/>
    <w:p>
      <w:pPr>
        <w:spacing w:after="0"/>
        <w:ind w:left="0"/>
        <w:jc w:val="left"/>
      </w:pPr>
      <w:r>
        <w:rPr>
          <w:rFonts w:ascii="Times New Roman"/>
          <w:b/>
          <w:i w:val="false"/>
          <w:color w:val="000000"/>
        </w:rPr>
        <w:t xml:space="preserve"> Information about the amount of the balance on the control account</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holder of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holder of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control account (IBAN)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balance on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account status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account is opened,</w:t>
            </w:r>
          </w:p>
          <w:p>
            <w:pPr>
              <w:spacing w:after="20"/>
              <w:ind w:left="20"/>
              <w:jc w:val="both"/>
            </w:pPr>
            <w:r>
              <w:rPr>
                <w:rFonts w:ascii="Times New Roman"/>
                <w:b w:val="false"/>
                <w:i w:val="false"/>
                <w:color w:val="000000"/>
                <w:sz w:val="20"/>
              </w:rPr>
              <w:t>
2 – account is closed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amendment of the control account status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w:t>
            </w:r>
          </w:p>
        </w:tc>
      </w:tr>
    </w:tbl>
    <w:bookmarkStart w:name="z34" w:id="28"/>
    <w:p>
      <w:pPr>
        <w:spacing w:after="0"/>
        <w:ind w:left="0"/>
        <w:jc w:val="both"/>
      </w:pPr>
      <w:r>
        <w:rPr>
          <w:rFonts w:ascii="Times New Roman"/>
          <w:b w:val="false"/>
          <w:i w:val="false"/>
          <w:color w:val="000000"/>
          <w:sz w:val="28"/>
        </w:rPr>
        <w:t>
      Note description of abbreviations:</w:t>
      </w:r>
    </w:p>
    <w:bookmarkEnd w:id="28"/>
    <w:bookmarkStart w:name="z35" w:id="29"/>
    <w:p>
      <w:pPr>
        <w:spacing w:after="0"/>
        <w:ind w:left="0"/>
        <w:jc w:val="both"/>
      </w:pPr>
      <w:r>
        <w:rPr>
          <w:rFonts w:ascii="Times New Roman"/>
          <w:b w:val="false"/>
          <w:i w:val="false"/>
          <w:color w:val="000000"/>
          <w:sz w:val="28"/>
        </w:rPr>
        <w:t>
      BIN – Business Identification Number</w:t>
      </w:r>
    </w:p>
    <w:bookmarkEnd w:id="29"/>
    <w:bookmarkStart w:name="z36" w:id="30"/>
    <w:p>
      <w:pPr>
        <w:spacing w:after="0"/>
        <w:ind w:left="0"/>
        <w:jc w:val="both"/>
      </w:pPr>
      <w:r>
        <w:rPr>
          <w:rFonts w:ascii="Times New Roman"/>
          <w:b w:val="false"/>
          <w:i w:val="false"/>
          <w:color w:val="000000"/>
          <w:sz w:val="28"/>
        </w:rPr>
        <w:t>
      IIN – Individual Identification Number</w:t>
      </w:r>
    </w:p>
    <w:bookmarkEnd w:id="30"/>
    <w:bookmarkStart w:name="z37" w:id="31"/>
    <w:p>
      <w:pPr>
        <w:spacing w:after="0"/>
        <w:ind w:left="0"/>
        <w:jc w:val="both"/>
      </w:pPr>
      <w:r>
        <w:rPr>
          <w:rFonts w:ascii="Times New Roman"/>
          <w:b w:val="false"/>
          <w:i w:val="false"/>
          <w:color w:val="000000"/>
          <w:sz w:val="28"/>
        </w:rPr>
        <w:t>
      BIC – Bank Identification Code</w:t>
      </w:r>
    </w:p>
    <w:bookmarkEnd w:id="31"/>
    <w:bookmarkStart w:name="z38" w:id="32"/>
    <w:p>
      <w:pPr>
        <w:spacing w:after="0"/>
        <w:ind w:left="0"/>
        <w:jc w:val="both"/>
      </w:pPr>
      <w:r>
        <w:rPr>
          <w:rFonts w:ascii="Times New Roman"/>
          <w:b w:val="false"/>
          <w:i w:val="false"/>
          <w:color w:val="000000"/>
          <w:sz w:val="28"/>
        </w:rPr>
        <w:t>
      YYYY-MM-DDThh:mm:ssZ – year/month/day/hour/minute/second/time zone</w:t>
      </w:r>
    </w:p>
    <w:bookmarkEnd w:id="32"/>
    <w:bookmarkStart w:name="z39" w:id="33"/>
    <w:p>
      <w:pPr>
        <w:spacing w:after="0"/>
        <w:ind w:left="0"/>
        <w:jc w:val="both"/>
      </w:pPr>
      <w:r>
        <w:rPr>
          <w:rFonts w:ascii="Times New Roman"/>
          <w:b w:val="false"/>
          <w:i w:val="false"/>
          <w:color w:val="000000"/>
          <w:sz w:val="28"/>
        </w:rPr>
        <w:t>
      BCC – Budget Classification Code</w:t>
      </w:r>
    </w:p>
    <w:bookmarkEnd w:id="33"/>
    <w:bookmarkStart w:name="z40" w:id="34"/>
    <w:p>
      <w:pPr>
        <w:spacing w:after="0"/>
        <w:ind w:left="0"/>
        <w:jc w:val="both"/>
      </w:pPr>
      <w:r>
        <w:rPr>
          <w:rFonts w:ascii="Times New Roman"/>
          <w:b w:val="false"/>
          <w:i w:val="false"/>
          <w:color w:val="000000"/>
          <w:sz w:val="28"/>
        </w:rPr>
        <w:t>
      PPC – Payment Purpose Code</w:t>
      </w:r>
    </w:p>
    <w:bookmarkEnd w:id="34"/>
    <w:bookmarkStart w:name="z41" w:id="35"/>
    <w:p>
      <w:pPr>
        <w:spacing w:after="0"/>
        <w:ind w:left="0"/>
        <w:jc w:val="both"/>
      </w:pPr>
      <w:r>
        <w:rPr>
          <w:rFonts w:ascii="Times New Roman"/>
          <w:b w:val="false"/>
          <w:i w:val="false"/>
          <w:color w:val="000000"/>
          <w:sz w:val="28"/>
        </w:rPr>
        <w:t>
      IBAN – bank account number</w:t>
      </w:r>
    </w:p>
    <w:bookmarkEnd w:id="35"/>
    <w:bookmarkStart w:name="z42" w:id="36"/>
    <w:p>
      <w:pPr>
        <w:spacing w:after="0"/>
        <w:ind w:left="0"/>
        <w:jc w:val="both"/>
      </w:pPr>
      <w:r>
        <w:rPr>
          <w:rFonts w:ascii="Times New Roman"/>
          <w:b w:val="false"/>
          <w:i w:val="false"/>
          <w:color w:val="000000"/>
          <w:sz w:val="28"/>
        </w:rPr>
        <w:t>
      ID – unique identification code</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and terms for</w:t>
            </w:r>
            <w:r>
              <w:br/>
            </w:r>
            <w:r>
              <w:rPr>
                <w:rFonts w:ascii="Times New Roman"/>
                <w:b w:val="false"/>
                <w:i w:val="false"/>
                <w:color w:val="000000"/>
                <w:sz w:val="20"/>
              </w:rPr>
              <w:t>submission by second-tier banks</w:t>
            </w:r>
            <w:r>
              <w:br/>
            </w:r>
            <w:r>
              <w:rPr>
                <w:rFonts w:ascii="Times New Roman"/>
                <w:b w:val="false"/>
                <w:i w:val="false"/>
                <w:color w:val="000000"/>
                <w:sz w:val="20"/>
              </w:rPr>
              <w:t>and organizations, exercising</w:t>
            </w:r>
            <w:r>
              <w:br/>
            </w:r>
            <w:r>
              <w:rPr>
                <w:rFonts w:ascii="Times New Roman"/>
                <w:b w:val="false"/>
                <w:i w:val="false"/>
                <w:color w:val="000000"/>
                <w:sz w:val="20"/>
              </w:rPr>
              <w:t>certain types of bank transactions,</w:t>
            </w:r>
            <w:r>
              <w:br/>
            </w:r>
            <w:r>
              <w:rPr>
                <w:rFonts w:ascii="Times New Roman"/>
                <w:b w:val="false"/>
                <w:i w:val="false"/>
                <w:color w:val="000000"/>
                <w:sz w:val="20"/>
              </w:rPr>
              <w:t>of the information on opening and</w:t>
            </w:r>
            <w:r>
              <w:br/>
            </w:r>
            <w:r>
              <w:rPr>
                <w:rFonts w:ascii="Times New Roman"/>
                <w:b w:val="false"/>
                <w:i w:val="false"/>
                <w:color w:val="000000"/>
                <w:sz w:val="20"/>
              </w:rPr>
              <w:t>closing of current accounts for</w:t>
            </w:r>
            <w:r>
              <w:br/>
            </w:r>
            <w:r>
              <w:rPr>
                <w:rFonts w:ascii="Times New Roman"/>
                <w:b w:val="false"/>
                <w:i w:val="false"/>
                <w:color w:val="000000"/>
                <w:sz w:val="20"/>
              </w:rPr>
              <w:t>accounting for value added tax as</w:t>
            </w:r>
            <w:r>
              <w:br/>
            </w:r>
            <w:r>
              <w:rPr>
                <w:rFonts w:ascii="Times New Roman"/>
                <w:b w:val="false"/>
                <w:i w:val="false"/>
                <w:color w:val="000000"/>
                <w:sz w:val="20"/>
              </w:rPr>
              <w:t>well as on balances and money</w:t>
            </w:r>
            <w:r>
              <w:br/>
            </w:r>
            <w:r>
              <w:rPr>
                <w:rFonts w:ascii="Times New Roman"/>
                <w:b w:val="false"/>
                <w:i w:val="false"/>
                <w:color w:val="000000"/>
                <w:sz w:val="20"/>
              </w:rPr>
              <w:t>flows on such accounts</w:t>
            </w:r>
          </w:p>
        </w:tc>
      </w:tr>
    </w:tbl>
    <w:bookmarkStart w:name="z44" w:id="37"/>
    <w:p>
      <w:pPr>
        <w:spacing w:after="0"/>
        <w:ind w:left="0"/>
        <w:jc w:val="left"/>
      </w:pPr>
      <w:r>
        <w:rPr>
          <w:rFonts w:ascii="Times New Roman"/>
          <w:b/>
          <w:i w:val="false"/>
          <w:color w:val="000000"/>
        </w:rPr>
        <w:t xml:space="preserve"> Information about money flow on the control account</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holder of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holder of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control account (IBAN)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opening the control account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Identifier of transaction debit / credit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debit,</w:t>
            </w:r>
          </w:p>
          <w:p>
            <w:pPr>
              <w:spacing w:after="20"/>
              <w:ind w:left="20"/>
              <w:jc w:val="both"/>
            </w:pPr>
            <w:r>
              <w:rPr>
                <w:rFonts w:ascii="Times New Roman"/>
                <w:b w:val="false"/>
                <w:i w:val="false"/>
                <w:color w:val="000000"/>
                <w:sz w:val="20"/>
              </w:rPr>
              <w:t>
2 – credit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order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Unique Transaction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currency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BCC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PPC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transaction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YYYY-MM-DDThh:mm:ssZ</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transaction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IIN/BIN of the holder of the control account - correspondent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holder of the control account - correspondent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 of the bank, in which the control account of the correspondent is opened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control account (IBAN) - correspondent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and character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8"/>
    <w:p>
      <w:pPr>
        <w:spacing w:after="0"/>
        <w:ind w:left="0"/>
        <w:jc w:val="both"/>
      </w:pPr>
      <w:r>
        <w:rPr>
          <w:rFonts w:ascii="Times New Roman"/>
          <w:b w:val="false"/>
          <w:i w:val="false"/>
          <w:color w:val="000000"/>
          <w:sz w:val="28"/>
        </w:rPr>
        <w:t>
      Note description of abbreviations:</w:t>
      </w:r>
    </w:p>
    <w:bookmarkEnd w:id="38"/>
    <w:bookmarkStart w:name="z46" w:id="39"/>
    <w:p>
      <w:pPr>
        <w:spacing w:after="0"/>
        <w:ind w:left="0"/>
        <w:jc w:val="both"/>
      </w:pPr>
      <w:r>
        <w:rPr>
          <w:rFonts w:ascii="Times New Roman"/>
          <w:b w:val="false"/>
          <w:i w:val="false"/>
          <w:color w:val="000000"/>
          <w:sz w:val="28"/>
        </w:rPr>
        <w:t>
      BIN – Business Identification Number</w:t>
      </w:r>
    </w:p>
    <w:bookmarkEnd w:id="39"/>
    <w:bookmarkStart w:name="z47" w:id="40"/>
    <w:p>
      <w:pPr>
        <w:spacing w:after="0"/>
        <w:ind w:left="0"/>
        <w:jc w:val="both"/>
      </w:pPr>
      <w:r>
        <w:rPr>
          <w:rFonts w:ascii="Times New Roman"/>
          <w:b w:val="false"/>
          <w:i w:val="false"/>
          <w:color w:val="000000"/>
          <w:sz w:val="28"/>
        </w:rPr>
        <w:t>
      IIN – Individual Identification Number</w:t>
      </w:r>
    </w:p>
    <w:bookmarkEnd w:id="40"/>
    <w:bookmarkStart w:name="z48" w:id="41"/>
    <w:p>
      <w:pPr>
        <w:spacing w:after="0"/>
        <w:ind w:left="0"/>
        <w:jc w:val="both"/>
      </w:pPr>
      <w:r>
        <w:rPr>
          <w:rFonts w:ascii="Times New Roman"/>
          <w:b w:val="false"/>
          <w:i w:val="false"/>
          <w:color w:val="000000"/>
          <w:sz w:val="28"/>
        </w:rPr>
        <w:t>
      BIC – Bank Identification Code</w:t>
      </w:r>
    </w:p>
    <w:bookmarkEnd w:id="41"/>
    <w:bookmarkStart w:name="z49" w:id="42"/>
    <w:p>
      <w:pPr>
        <w:spacing w:after="0"/>
        <w:ind w:left="0"/>
        <w:jc w:val="both"/>
      </w:pPr>
      <w:r>
        <w:rPr>
          <w:rFonts w:ascii="Times New Roman"/>
          <w:b w:val="false"/>
          <w:i w:val="false"/>
          <w:color w:val="000000"/>
          <w:sz w:val="28"/>
        </w:rPr>
        <w:t>
      YYYY-MM-DDThh:mm:ssZ – year/month/day/hour/minute/second/time zone</w:t>
      </w:r>
    </w:p>
    <w:bookmarkEnd w:id="42"/>
    <w:bookmarkStart w:name="z50" w:id="43"/>
    <w:p>
      <w:pPr>
        <w:spacing w:after="0"/>
        <w:ind w:left="0"/>
        <w:jc w:val="both"/>
      </w:pPr>
      <w:r>
        <w:rPr>
          <w:rFonts w:ascii="Times New Roman"/>
          <w:b w:val="false"/>
          <w:i w:val="false"/>
          <w:color w:val="000000"/>
          <w:sz w:val="28"/>
        </w:rPr>
        <w:t>
      BCC – Budget Classification Code</w:t>
      </w:r>
    </w:p>
    <w:bookmarkEnd w:id="43"/>
    <w:bookmarkStart w:name="z51" w:id="44"/>
    <w:p>
      <w:pPr>
        <w:spacing w:after="0"/>
        <w:ind w:left="0"/>
        <w:jc w:val="both"/>
      </w:pPr>
      <w:r>
        <w:rPr>
          <w:rFonts w:ascii="Times New Roman"/>
          <w:b w:val="false"/>
          <w:i w:val="false"/>
          <w:color w:val="000000"/>
          <w:sz w:val="28"/>
        </w:rPr>
        <w:t>
      PPC – Payment Purpose Code</w:t>
      </w:r>
    </w:p>
    <w:bookmarkEnd w:id="44"/>
    <w:bookmarkStart w:name="z52" w:id="45"/>
    <w:p>
      <w:pPr>
        <w:spacing w:after="0"/>
        <w:ind w:left="0"/>
        <w:jc w:val="both"/>
      </w:pPr>
      <w:r>
        <w:rPr>
          <w:rFonts w:ascii="Times New Roman"/>
          <w:b w:val="false"/>
          <w:i w:val="false"/>
          <w:color w:val="000000"/>
          <w:sz w:val="28"/>
        </w:rPr>
        <w:t>
      IBAN – bank account number</w:t>
      </w:r>
    </w:p>
    <w:bookmarkEnd w:id="45"/>
    <w:bookmarkStart w:name="z53" w:id="46"/>
    <w:p>
      <w:pPr>
        <w:spacing w:after="0"/>
        <w:ind w:left="0"/>
        <w:jc w:val="both"/>
      </w:pPr>
      <w:r>
        <w:rPr>
          <w:rFonts w:ascii="Times New Roman"/>
          <w:b w:val="false"/>
          <w:i w:val="false"/>
          <w:color w:val="000000"/>
          <w:sz w:val="28"/>
        </w:rPr>
        <w:t>
      ID – unique identification code</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