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baa1" w14:textId="890b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of a state service “Issuance of a decision for conducting a set of works on post-utilization of facilities (demolition of buildings)”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Infrastructural Development of the Republic of Kazakhstan dated June 28, 2019 № 452. Registered in the Ministry of Justice of the Republic of Kazakhstan on July 4, 2019 № 18969.</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Expired by order of the acting Minister of industry and infrastructure development of the Republic of Kazakhstan from 30.03.2020 No. 167 (enforced upon the expiry of twenty one calendar days after the day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In accordance with subparagraph 1) of Article 10 of the Law of the Republic of Kazakhstan dated April 15, 2013 “On State Services”, I ORDER:</w:t>
      </w:r>
    </w:p>
    <w:bookmarkEnd w:id="1"/>
    <w:bookmarkStart w:name="z3" w:id="2"/>
    <w:p>
      <w:pPr>
        <w:spacing w:after="0"/>
        <w:ind w:left="0"/>
        <w:jc w:val="both"/>
      </w:pPr>
      <w:r>
        <w:rPr>
          <w:rFonts w:ascii="Times New Roman"/>
          <w:b w:val="false"/>
          <w:i w:val="false"/>
          <w:color w:val="000000"/>
          <w:sz w:val="28"/>
        </w:rPr>
        <w:t>
      1. To approve the attached standard of a state service “Issuance of a decision for conducting a set of works on post-utilization of facilities (demolition of buildings)”.</w:t>
      </w:r>
    </w:p>
    <w:bookmarkEnd w:id="2"/>
    <w:bookmarkStart w:name="z4" w:id="3"/>
    <w:p>
      <w:pPr>
        <w:spacing w:after="0"/>
        <w:ind w:left="0"/>
        <w:jc w:val="both"/>
      </w:pPr>
      <w:r>
        <w:rPr>
          <w:rFonts w:ascii="Times New Roman"/>
          <w:b w:val="false"/>
          <w:i w:val="false"/>
          <w:color w:val="000000"/>
          <w:sz w:val="28"/>
        </w:rPr>
        <w:t>
      2. The committee of construction and housing-communal services affairs of the Ministry of Industry and Infrastructural Development of the Republic of Kazakhstan, in the manner established by the legislation shall ensure:</w:t>
      </w:r>
    </w:p>
    <w:bookmarkEnd w:id="3"/>
    <w:bookmarkStart w:name="z5" w:id="4"/>
    <w:p>
      <w:pPr>
        <w:spacing w:after="0"/>
        <w:ind w:left="0"/>
        <w:jc w:val="both"/>
      </w:pPr>
      <w:r>
        <w:rPr>
          <w:rFonts w:ascii="Times New Roman"/>
          <w:b w:val="false"/>
          <w:i w:val="false"/>
          <w:color w:val="000000"/>
          <w:sz w:val="28"/>
        </w:rPr>
        <w:t>
      1) state registration of this order in the Ministry of Justice of the Republic of Kazakhstan;</w:t>
      </w:r>
    </w:p>
    <w:bookmarkEnd w:id="4"/>
    <w:bookmarkStart w:name="z6" w:id="5"/>
    <w:p>
      <w:pPr>
        <w:spacing w:after="0"/>
        <w:ind w:left="0"/>
        <w:jc w:val="both"/>
      </w:pPr>
      <w:r>
        <w:rPr>
          <w:rFonts w:ascii="Times New Roman"/>
          <w:b w:val="false"/>
          <w:i w:val="false"/>
          <w:color w:val="000000"/>
          <w:sz w:val="28"/>
        </w:rPr>
        <w:t>
      2) within ten calendar days from the date of state registration of this order, sending it in the Kazakh and Russian languages to the Republican state enterprise on the right of economic management “Institute of Legislation and Legal Information of the Republic of Kazakhstan” for official publication and inclusion to the Standard control bank of regulatory legal acts of the Republic of Kazakhstan;</w:t>
      </w:r>
    </w:p>
    <w:bookmarkEnd w:id="5"/>
    <w:bookmarkStart w:name="z7" w:id="6"/>
    <w:p>
      <w:pPr>
        <w:spacing w:after="0"/>
        <w:ind w:left="0"/>
        <w:jc w:val="both"/>
      </w:pPr>
      <w:r>
        <w:rPr>
          <w:rFonts w:ascii="Times New Roman"/>
          <w:b w:val="false"/>
          <w:i w:val="false"/>
          <w:color w:val="000000"/>
          <w:sz w:val="28"/>
        </w:rPr>
        <w:t>
      3) placement of this order on the Internet resource of the Ministry of Industry and Infrastructural Development of the Republic of Kazakhstan.</w:t>
      </w:r>
    </w:p>
    <w:bookmarkEnd w:id="6"/>
    <w:bookmarkStart w:name="z8" w:id="7"/>
    <w:p>
      <w:pPr>
        <w:spacing w:after="0"/>
        <w:ind w:left="0"/>
        <w:jc w:val="both"/>
      </w:pPr>
      <w:r>
        <w:rPr>
          <w:rFonts w:ascii="Times New Roman"/>
          <w:b w:val="false"/>
          <w:i w:val="false"/>
          <w:color w:val="000000"/>
          <w:sz w:val="28"/>
        </w:rPr>
        <w:t>
      3. Control over execution of this order shall be assigned to the supervising Vice- Minister of Industry and Infrastructural Development of the Republic of Kazakhstan.</w:t>
      </w:r>
    </w:p>
    <w:bookmarkEnd w:id="7"/>
    <w:bookmarkStart w:name="z9" w:id="8"/>
    <w:p>
      <w:pPr>
        <w:spacing w:after="0"/>
        <w:ind w:left="0"/>
        <w:jc w:val="both"/>
      </w:pPr>
      <w:r>
        <w:rPr>
          <w:rFonts w:ascii="Times New Roman"/>
          <w:b w:val="false"/>
          <w:i w:val="false"/>
          <w:color w:val="000000"/>
          <w:sz w:val="28"/>
        </w:rPr>
        <w:t>
      4. This order shall be enforced upon expiry of twenty-one calendar days after its first official publication.</w:t>
      </w:r>
    </w:p>
    <w:bookmarkEnd w:id="8"/>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Industry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and Infrastructural Development</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Sklyar</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Digital Development, </w:t>
      </w:r>
    </w:p>
    <w:p>
      <w:pPr>
        <w:spacing w:after="0"/>
        <w:ind w:left="0"/>
        <w:jc w:val="both"/>
      </w:pPr>
      <w:r>
        <w:rPr>
          <w:rFonts w:ascii="Times New Roman"/>
          <w:b w:val="false"/>
          <w:i w:val="false"/>
          <w:color w:val="000000"/>
          <w:sz w:val="28"/>
        </w:rPr>
        <w:t xml:space="preserve">
      Defense and Aerospace Industry </w:t>
      </w:r>
    </w:p>
    <w:p>
      <w:pPr>
        <w:spacing w:after="0"/>
        <w:ind w:left="0"/>
        <w:jc w:val="both"/>
      </w:pPr>
      <w:r>
        <w:rPr>
          <w:rFonts w:ascii="Times New Roman"/>
          <w:b w:val="false"/>
          <w:i w:val="false"/>
          <w:color w:val="000000"/>
          <w:sz w:val="28"/>
        </w:rPr>
        <w:t xml:space="preserve">
      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w:t>
            </w:r>
            <w:r>
              <w:br/>
            </w:r>
            <w:r>
              <w:rPr>
                <w:rFonts w:ascii="Times New Roman"/>
                <w:b w:val="false"/>
                <w:i w:val="false"/>
                <w:color w:val="000000"/>
                <w:sz w:val="20"/>
              </w:rPr>
              <w:t>Minister of Industry</w:t>
            </w:r>
            <w:r>
              <w:br/>
            </w:r>
            <w:r>
              <w:rPr>
                <w:rFonts w:ascii="Times New Roman"/>
                <w:b w:val="false"/>
                <w:i w:val="false"/>
                <w:color w:val="000000"/>
                <w:sz w:val="20"/>
              </w:rPr>
              <w:t>and Infrastructural Development</w:t>
            </w:r>
            <w:r>
              <w:br/>
            </w:r>
            <w:r>
              <w:rPr>
                <w:rFonts w:ascii="Times New Roman"/>
                <w:b w:val="false"/>
                <w:i w:val="false"/>
                <w:color w:val="000000"/>
                <w:sz w:val="20"/>
              </w:rPr>
              <w:t>of the Republic of Kazakhstan</w:t>
            </w:r>
            <w:r>
              <w:br/>
            </w:r>
            <w:r>
              <w:rPr>
                <w:rFonts w:ascii="Times New Roman"/>
                <w:b w:val="false"/>
                <w:i w:val="false"/>
                <w:color w:val="000000"/>
                <w:sz w:val="20"/>
              </w:rPr>
              <w:t>dated June 28, 2019  № 452</w:t>
            </w:r>
          </w:p>
        </w:tc>
      </w:tr>
    </w:tbl>
    <w:bookmarkStart w:name="z11" w:id="9"/>
    <w:p>
      <w:pPr>
        <w:spacing w:after="0"/>
        <w:ind w:left="0"/>
        <w:jc w:val="left"/>
      </w:pPr>
      <w:r>
        <w:rPr>
          <w:rFonts w:ascii="Times New Roman"/>
          <w:b/>
          <w:i w:val="false"/>
          <w:color w:val="000000"/>
        </w:rPr>
        <w:t xml:space="preserve"> Standard of a state service “Issuance of a decision for conducting a set of works</w:t>
      </w:r>
      <w:r>
        <w:br/>
      </w:r>
      <w:r>
        <w:rPr>
          <w:rFonts w:ascii="Times New Roman"/>
          <w:b/>
          <w:i w:val="false"/>
          <w:color w:val="000000"/>
        </w:rPr>
        <w:t>on post-utilization of facilities (demolition of buildings)”</w:t>
      </w:r>
      <w:r>
        <w:br/>
      </w:r>
      <w:r>
        <w:rPr>
          <w:rFonts w:ascii="Times New Roman"/>
          <w:b/>
          <w:i w:val="false"/>
          <w:color w:val="000000"/>
        </w:rPr>
        <w:t>Chapter 1. General provisions</w:t>
      </w:r>
    </w:p>
    <w:bookmarkEnd w:id="9"/>
    <w:bookmarkStart w:name="z12" w:id="10"/>
    <w:p>
      <w:pPr>
        <w:spacing w:after="0"/>
        <w:ind w:left="0"/>
        <w:jc w:val="both"/>
      </w:pPr>
      <w:r>
        <w:rPr>
          <w:rFonts w:ascii="Times New Roman"/>
          <w:b w:val="false"/>
          <w:i w:val="false"/>
          <w:color w:val="000000"/>
          <w:sz w:val="28"/>
        </w:rPr>
        <w:t>
      1. State service “Issuance of a decision for conducting a set of works on post-utilization of facilities (demolition of buildings)” (hereinafter- a state service).</w:t>
      </w:r>
    </w:p>
    <w:bookmarkEnd w:id="10"/>
    <w:bookmarkStart w:name="z13" w:id="11"/>
    <w:p>
      <w:pPr>
        <w:spacing w:after="0"/>
        <w:ind w:left="0"/>
        <w:jc w:val="both"/>
      </w:pPr>
      <w:r>
        <w:rPr>
          <w:rFonts w:ascii="Times New Roman"/>
          <w:b w:val="false"/>
          <w:i w:val="false"/>
          <w:color w:val="000000"/>
          <w:sz w:val="28"/>
        </w:rPr>
        <w:t>
      2. The standard of a state service was developed by the Ministry of Industry and Infrastructural Development of the Republic of Kazakhstan (hereinafter - the Ministry).</w:t>
      </w:r>
    </w:p>
    <w:bookmarkEnd w:id="11"/>
    <w:bookmarkStart w:name="z14" w:id="12"/>
    <w:p>
      <w:pPr>
        <w:spacing w:after="0"/>
        <w:ind w:left="0"/>
        <w:jc w:val="both"/>
      </w:pPr>
      <w:r>
        <w:rPr>
          <w:rFonts w:ascii="Times New Roman"/>
          <w:b w:val="false"/>
          <w:i w:val="false"/>
          <w:color w:val="000000"/>
          <w:sz w:val="28"/>
        </w:rPr>
        <w:t>
      3. The state service is provided by local executive bodies of regions, the cities of Nur-Sultan, Almaty and Shymkent, districts and cities of regional significance (hereinafter – a service provider).</w:t>
      </w:r>
    </w:p>
    <w:bookmarkEnd w:id="12"/>
    <w:bookmarkStart w:name="z15" w:id="13"/>
    <w:p>
      <w:pPr>
        <w:spacing w:after="0"/>
        <w:ind w:left="0"/>
        <w:jc w:val="both"/>
      </w:pPr>
      <w:r>
        <w:rPr>
          <w:rFonts w:ascii="Times New Roman"/>
          <w:b w:val="false"/>
          <w:i w:val="false"/>
          <w:color w:val="000000"/>
          <w:sz w:val="28"/>
        </w:rPr>
        <w:t xml:space="preserve">
      Acceptance of an application and issuance of the result of rendering a state service shall be carried out through: </w:t>
      </w:r>
    </w:p>
    <w:bookmarkEnd w:id="13"/>
    <w:bookmarkStart w:name="z16" w:id="14"/>
    <w:p>
      <w:pPr>
        <w:spacing w:after="0"/>
        <w:ind w:left="0"/>
        <w:jc w:val="both"/>
      </w:pPr>
      <w:r>
        <w:rPr>
          <w:rFonts w:ascii="Times New Roman"/>
          <w:b w:val="false"/>
          <w:i w:val="false"/>
          <w:color w:val="000000"/>
          <w:sz w:val="28"/>
        </w:rPr>
        <w:t>
      1) the office of a service provider;</w:t>
      </w:r>
    </w:p>
    <w:bookmarkEnd w:id="14"/>
    <w:bookmarkStart w:name="z17" w:id="15"/>
    <w:p>
      <w:pPr>
        <w:spacing w:after="0"/>
        <w:ind w:left="0"/>
        <w:jc w:val="both"/>
      </w:pPr>
      <w:r>
        <w:rPr>
          <w:rFonts w:ascii="Times New Roman"/>
          <w:b w:val="false"/>
          <w:i w:val="false"/>
          <w:color w:val="000000"/>
          <w:sz w:val="28"/>
        </w:rPr>
        <w:t>
      2) e-government web portal www.egov.kz (hereinafter – the portal).</w:t>
      </w:r>
    </w:p>
    <w:bookmarkEnd w:id="15"/>
    <w:bookmarkStart w:name="z18" w:id="16"/>
    <w:p>
      <w:pPr>
        <w:spacing w:after="0"/>
        <w:ind w:left="0"/>
        <w:jc w:val="left"/>
      </w:pPr>
      <w:r>
        <w:rPr>
          <w:rFonts w:ascii="Times New Roman"/>
          <w:b/>
          <w:i w:val="false"/>
          <w:color w:val="000000"/>
        </w:rPr>
        <w:t xml:space="preserve"> Chapter 2. The procedure for rendering a state service</w:t>
      </w:r>
    </w:p>
    <w:bookmarkEnd w:id="16"/>
    <w:bookmarkStart w:name="z19" w:id="17"/>
    <w:p>
      <w:pPr>
        <w:spacing w:after="0"/>
        <w:ind w:left="0"/>
        <w:jc w:val="both"/>
      </w:pPr>
      <w:r>
        <w:rPr>
          <w:rFonts w:ascii="Times New Roman"/>
          <w:b w:val="false"/>
          <w:i w:val="false"/>
          <w:color w:val="000000"/>
          <w:sz w:val="28"/>
        </w:rPr>
        <w:t>
      4. The term for rendering a state service:</w:t>
      </w:r>
    </w:p>
    <w:bookmarkEnd w:id="17"/>
    <w:bookmarkStart w:name="z20" w:id="18"/>
    <w:p>
      <w:pPr>
        <w:spacing w:after="0"/>
        <w:ind w:left="0"/>
        <w:jc w:val="both"/>
      </w:pPr>
      <w:r>
        <w:rPr>
          <w:rFonts w:ascii="Times New Roman"/>
          <w:b w:val="false"/>
          <w:i w:val="false"/>
          <w:color w:val="000000"/>
          <w:sz w:val="28"/>
        </w:rPr>
        <w:t>
      1) from the date of submission of a package of documents for conducting a set of works on post-utilization of facilities (demolition of buildings) of technically and (or) technologically uncomplicated facilities to a service provider and when applying to the portal - 10 (ten) working days;</w:t>
      </w:r>
    </w:p>
    <w:bookmarkEnd w:id="18"/>
    <w:bookmarkStart w:name="z21" w:id="19"/>
    <w:p>
      <w:pPr>
        <w:spacing w:after="0"/>
        <w:ind w:left="0"/>
        <w:jc w:val="both"/>
      </w:pPr>
      <w:r>
        <w:rPr>
          <w:rFonts w:ascii="Times New Roman"/>
          <w:b w:val="false"/>
          <w:i w:val="false"/>
          <w:color w:val="000000"/>
          <w:sz w:val="28"/>
        </w:rPr>
        <w:t>
      2) from the date of delivery of a package of documents for conducting a set of works on post-utilization of facilities (demolition of buildings) of technically and (or) technologically complicated facilities to the service provider and when applying to the portal - 15 (fifteen) working days.</w:t>
      </w:r>
    </w:p>
    <w:bookmarkEnd w:id="19"/>
    <w:bookmarkStart w:name="z22" w:id="20"/>
    <w:p>
      <w:pPr>
        <w:spacing w:after="0"/>
        <w:ind w:left="0"/>
        <w:jc w:val="both"/>
      </w:pPr>
      <w:r>
        <w:rPr>
          <w:rFonts w:ascii="Times New Roman"/>
          <w:b w:val="false"/>
          <w:i w:val="false"/>
          <w:color w:val="000000"/>
          <w:sz w:val="28"/>
        </w:rPr>
        <w:t>
      The service provider shall check the completeness of the submitted documents within two working days from the receipt of documents of a service recipient.</w:t>
      </w:r>
    </w:p>
    <w:bookmarkEnd w:id="20"/>
    <w:bookmarkStart w:name="z23" w:id="21"/>
    <w:p>
      <w:pPr>
        <w:spacing w:after="0"/>
        <w:ind w:left="0"/>
        <w:jc w:val="both"/>
      </w:pPr>
      <w:r>
        <w:rPr>
          <w:rFonts w:ascii="Times New Roman"/>
          <w:b w:val="false"/>
          <w:i w:val="false"/>
          <w:color w:val="000000"/>
          <w:sz w:val="28"/>
        </w:rPr>
        <w:t xml:space="preserve">
      If an applicant submits an incomplete package of documents, a service provider shall give a reasoned refusal to further consideration of an application within the specified terms. </w:t>
      </w:r>
    </w:p>
    <w:bookmarkEnd w:id="21"/>
    <w:bookmarkStart w:name="z24" w:id="22"/>
    <w:p>
      <w:pPr>
        <w:spacing w:after="0"/>
        <w:ind w:left="0"/>
        <w:jc w:val="both"/>
      </w:pPr>
      <w:r>
        <w:rPr>
          <w:rFonts w:ascii="Times New Roman"/>
          <w:b w:val="false"/>
          <w:i w:val="false"/>
          <w:color w:val="000000"/>
          <w:sz w:val="28"/>
        </w:rPr>
        <w:t>
      3) maximum allowable waiting time for submission of the package of documents of a service recipient at a service provider - 20 (twenty) minutes;</w:t>
      </w:r>
    </w:p>
    <w:bookmarkEnd w:id="22"/>
    <w:bookmarkStart w:name="z25" w:id="23"/>
    <w:p>
      <w:pPr>
        <w:spacing w:after="0"/>
        <w:ind w:left="0"/>
        <w:jc w:val="both"/>
      </w:pPr>
      <w:r>
        <w:rPr>
          <w:rFonts w:ascii="Times New Roman"/>
          <w:b w:val="false"/>
          <w:i w:val="false"/>
          <w:color w:val="000000"/>
          <w:sz w:val="28"/>
        </w:rPr>
        <w:t>
      4) maximum allowable time for servicing a service recipient at a service provider - 15 (fifteen) minutes.</w:t>
      </w:r>
    </w:p>
    <w:bookmarkEnd w:id="23"/>
    <w:bookmarkStart w:name="z26" w:id="24"/>
    <w:p>
      <w:pPr>
        <w:spacing w:after="0"/>
        <w:ind w:left="0"/>
        <w:jc w:val="both"/>
      </w:pPr>
      <w:r>
        <w:rPr>
          <w:rFonts w:ascii="Times New Roman"/>
          <w:b w:val="false"/>
          <w:i w:val="false"/>
          <w:color w:val="000000"/>
          <w:sz w:val="28"/>
        </w:rPr>
        <w:t xml:space="preserve">
      5. The form of rendering of a state service: electronic or paper. </w:t>
      </w:r>
    </w:p>
    <w:bookmarkEnd w:id="24"/>
    <w:bookmarkStart w:name="z27" w:id="25"/>
    <w:p>
      <w:pPr>
        <w:spacing w:after="0"/>
        <w:ind w:left="0"/>
        <w:jc w:val="both"/>
      </w:pPr>
      <w:r>
        <w:rPr>
          <w:rFonts w:ascii="Times New Roman"/>
          <w:b w:val="false"/>
          <w:i w:val="false"/>
          <w:color w:val="000000"/>
          <w:sz w:val="28"/>
        </w:rPr>
        <w:t xml:space="preserve">
      6. The result of rendering a state service is an issuance of the decision for conducting a set of works on post-utilization of facilities (demolition of buildings), or a reasoned response on refusal in rendering a state service in cases and on the grounds provided for in paragraph 10 of this standard. </w:t>
      </w:r>
    </w:p>
    <w:bookmarkEnd w:id="25"/>
    <w:bookmarkStart w:name="z28" w:id="26"/>
    <w:p>
      <w:pPr>
        <w:spacing w:after="0"/>
        <w:ind w:left="0"/>
        <w:jc w:val="both"/>
      </w:pPr>
      <w:r>
        <w:rPr>
          <w:rFonts w:ascii="Times New Roman"/>
          <w:b w:val="false"/>
          <w:i w:val="false"/>
          <w:color w:val="000000"/>
          <w:sz w:val="28"/>
        </w:rPr>
        <w:t>
      Form of providing the result of rendering a state service: electronic or paper.</w:t>
      </w:r>
    </w:p>
    <w:bookmarkEnd w:id="26"/>
    <w:bookmarkStart w:name="z29" w:id="27"/>
    <w:p>
      <w:pPr>
        <w:spacing w:after="0"/>
        <w:ind w:left="0"/>
        <w:jc w:val="both"/>
      </w:pPr>
      <w:r>
        <w:rPr>
          <w:rFonts w:ascii="Times New Roman"/>
          <w:b w:val="false"/>
          <w:i w:val="false"/>
          <w:color w:val="000000"/>
          <w:sz w:val="28"/>
        </w:rPr>
        <w:t>
      When a service recipient applies through the portal, the result of rendering a state service shall be sent to the “personal account” of a service recipient in the form of an electronic document, certified by electronic digital signature (hereinafter - EDS) of the authorized person of a service provider.</w:t>
      </w:r>
    </w:p>
    <w:bookmarkEnd w:id="27"/>
    <w:bookmarkStart w:name="z30" w:id="28"/>
    <w:p>
      <w:pPr>
        <w:spacing w:after="0"/>
        <w:ind w:left="0"/>
        <w:jc w:val="both"/>
      </w:pPr>
      <w:r>
        <w:rPr>
          <w:rFonts w:ascii="Times New Roman"/>
          <w:b w:val="false"/>
          <w:i w:val="false"/>
          <w:color w:val="000000"/>
          <w:sz w:val="28"/>
        </w:rPr>
        <w:t xml:space="preserve">
      7. State service shall be rendered free of charge to individuals and legal entities (hereinafter- a service recipient). </w:t>
      </w:r>
    </w:p>
    <w:bookmarkEnd w:id="28"/>
    <w:bookmarkStart w:name="z31" w:id="29"/>
    <w:p>
      <w:pPr>
        <w:spacing w:after="0"/>
        <w:ind w:left="0"/>
        <w:jc w:val="both"/>
      </w:pPr>
      <w:r>
        <w:rPr>
          <w:rFonts w:ascii="Times New Roman"/>
          <w:b w:val="false"/>
          <w:i w:val="false"/>
          <w:color w:val="000000"/>
          <w:sz w:val="28"/>
        </w:rPr>
        <w:t>
      8. Work schedule of:</w:t>
      </w:r>
    </w:p>
    <w:bookmarkEnd w:id="29"/>
    <w:bookmarkStart w:name="z32" w:id="30"/>
    <w:p>
      <w:pPr>
        <w:spacing w:after="0"/>
        <w:ind w:left="0"/>
        <w:jc w:val="both"/>
      </w:pPr>
      <w:r>
        <w:rPr>
          <w:rFonts w:ascii="Times New Roman"/>
          <w:b w:val="false"/>
          <w:i w:val="false"/>
          <w:color w:val="000000"/>
          <w:sz w:val="28"/>
        </w:rPr>
        <w:t>
      1) a service provider - from Monday till Friday from 8.30, 9.00 to 18.00, 18.30, with a lunch break from 13.00 to 14.00, 14:30, except for weekends and holidays in accordance with the labor legislation of the Republic of Kazakhstan.</w:t>
      </w:r>
    </w:p>
    <w:bookmarkEnd w:id="30"/>
    <w:bookmarkStart w:name="z33" w:id="31"/>
    <w:p>
      <w:pPr>
        <w:spacing w:after="0"/>
        <w:ind w:left="0"/>
        <w:jc w:val="both"/>
      </w:pPr>
      <w:r>
        <w:rPr>
          <w:rFonts w:ascii="Times New Roman"/>
          <w:b w:val="false"/>
          <w:i w:val="false"/>
          <w:color w:val="000000"/>
          <w:sz w:val="28"/>
        </w:rPr>
        <w:t>
      Acceptance of an application and issuance of the result on rendering a state service shall be carried out from 9.00 to 17.30 with a lunch break from 13.00 to 14.00, 14:30.</w:t>
      </w:r>
    </w:p>
    <w:bookmarkEnd w:id="31"/>
    <w:bookmarkStart w:name="z34" w:id="32"/>
    <w:p>
      <w:pPr>
        <w:spacing w:after="0"/>
        <w:ind w:left="0"/>
        <w:jc w:val="both"/>
      </w:pPr>
      <w:r>
        <w:rPr>
          <w:rFonts w:ascii="Times New Roman"/>
          <w:b w:val="false"/>
          <w:i w:val="false"/>
          <w:color w:val="000000"/>
          <w:sz w:val="28"/>
        </w:rPr>
        <w:t>
      The state service shall be rendered on a first come, first-served basis, without prior appointment and expedited service;</w:t>
      </w:r>
    </w:p>
    <w:bookmarkEnd w:id="32"/>
    <w:bookmarkStart w:name="z35" w:id="33"/>
    <w:p>
      <w:pPr>
        <w:spacing w:after="0"/>
        <w:ind w:left="0"/>
        <w:jc w:val="both"/>
      </w:pPr>
      <w:r>
        <w:rPr>
          <w:rFonts w:ascii="Times New Roman"/>
          <w:b w:val="false"/>
          <w:i w:val="false"/>
          <w:color w:val="000000"/>
          <w:sz w:val="28"/>
        </w:rPr>
        <w:t>
      2) the portal - around the clock, with exception of technical breaks in connection with repair works (when a service recipient applies after the end of working hours, on weekends and holidays according to the labor legislation of the Republic of Kazakhstan, acceptance of an application and issuance of the result on rendering a state service shall be carried out on the next working day).</w:t>
      </w:r>
    </w:p>
    <w:bookmarkEnd w:id="33"/>
    <w:bookmarkStart w:name="z36" w:id="34"/>
    <w:p>
      <w:pPr>
        <w:spacing w:after="0"/>
        <w:ind w:left="0"/>
        <w:jc w:val="both"/>
      </w:pPr>
      <w:r>
        <w:rPr>
          <w:rFonts w:ascii="Times New Roman"/>
          <w:b w:val="false"/>
          <w:i w:val="false"/>
          <w:color w:val="000000"/>
          <w:sz w:val="28"/>
        </w:rPr>
        <w:t>
      9. The list of documents required for rendering a state service when a service recipient (or an authorized representative: of a legal entity under a document confirming authority, or an individual under a notarized power of attorney) applies to:</w:t>
      </w:r>
    </w:p>
    <w:bookmarkEnd w:id="34"/>
    <w:bookmarkStart w:name="z37" w:id="35"/>
    <w:p>
      <w:pPr>
        <w:spacing w:after="0"/>
        <w:ind w:left="0"/>
        <w:jc w:val="both"/>
      </w:pPr>
      <w:r>
        <w:rPr>
          <w:rFonts w:ascii="Times New Roman"/>
          <w:b w:val="false"/>
          <w:i w:val="false"/>
          <w:color w:val="000000"/>
          <w:sz w:val="28"/>
        </w:rPr>
        <w:t>
      1) a service provider:</w:t>
      </w:r>
    </w:p>
    <w:bookmarkEnd w:id="35"/>
    <w:bookmarkStart w:name="z38" w:id="36"/>
    <w:p>
      <w:pPr>
        <w:spacing w:after="0"/>
        <w:ind w:left="0"/>
        <w:jc w:val="both"/>
      </w:pPr>
      <w:r>
        <w:rPr>
          <w:rFonts w:ascii="Times New Roman"/>
          <w:b w:val="false"/>
          <w:i w:val="false"/>
          <w:color w:val="000000"/>
          <w:sz w:val="28"/>
        </w:rPr>
        <w:t xml:space="preserve">
      application for individuals and legal entities in forms according to Appendices 1 and 2 to this standard of rendering a state service; </w:t>
      </w:r>
    </w:p>
    <w:bookmarkEnd w:id="36"/>
    <w:bookmarkStart w:name="z39" w:id="37"/>
    <w:p>
      <w:pPr>
        <w:spacing w:after="0"/>
        <w:ind w:left="0"/>
        <w:jc w:val="both"/>
      </w:pPr>
      <w:r>
        <w:rPr>
          <w:rFonts w:ascii="Times New Roman"/>
          <w:b w:val="false"/>
          <w:i w:val="false"/>
          <w:color w:val="000000"/>
          <w:sz w:val="28"/>
        </w:rPr>
        <w:t>
      an identity document (to identify the identity of a service recipient);</w:t>
      </w:r>
    </w:p>
    <w:bookmarkEnd w:id="37"/>
    <w:bookmarkStart w:name="z40" w:id="38"/>
    <w:p>
      <w:pPr>
        <w:spacing w:after="0"/>
        <w:ind w:left="0"/>
        <w:jc w:val="both"/>
      </w:pPr>
      <w:r>
        <w:rPr>
          <w:rFonts w:ascii="Times New Roman"/>
          <w:b w:val="false"/>
          <w:i w:val="false"/>
          <w:color w:val="000000"/>
          <w:sz w:val="28"/>
        </w:rPr>
        <w:t>
      a written consent of the owner (co-owners) of the facility for conducting a set of works on post-utilization (demolition of buildings) and its parameters;</w:t>
      </w:r>
    </w:p>
    <w:bookmarkEnd w:id="38"/>
    <w:bookmarkStart w:name="z41" w:id="39"/>
    <w:p>
      <w:pPr>
        <w:spacing w:after="0"/>
        <w:ind w:left="0"/>
        <w:jc w:val="both"/>
      </w:pPr>
      <w:r>
        <w:rPr>
          <w:rFonts w:ascii="Times New Roman"/>
          <w:b w:val="false"/>
          <w:i w:val="false"/>
          <w:color w:val="000000"/>
          <w:sz w:val="28"/>
        </w:rPr>
        <w:t xml:space="preserve">
      a notarized written consent of the owners of other premises (parts of the house) adjacent to the facility to be postutilized (demolition of buildings), if a set of works on postutilization of facilities (demolition of buildings) affects their interests; </w:t>
      </w:r>
    </w:p>
    <w:bookmarkEnd w:id="39"/>
    <w:bookmarkStart w:name="z42" w:id="40"/>
    <w:p>
      <w:pPr>
        <w:spacing w:after="0"/>
        <w:ind w:left="0"/>
        <w:jc w:val="both"/>
      </w:pPr>
      <w:r>
        <w:rPr>
          <w:rFonts w:ascii="Times New Roman"/>
          <w:b w:val="false"/>
          <w:i w:val="false"/>
          <w:color w:val="000000"/>
          <w:sz w:val="28"/>
        </w:rPr>
        <w:t>
      a document of a relevant state body confirming the circumstances of impossibility of further use (operation) of this facility, determined by the results of examination of technical (physical) condition;</w:t>
      </w:r>
    </w:p>
    <w:bookmarkEnd w:id="40"/>
    <w:bookmarkStart w:name="z43" w:id="41"/>
    <w:p>
      <w:pPr>
        <w:spacing w:after="0"/>
        <w:ind w:left="0"/>
        <w:jc w:val="both"/>
      </w:pPr>
      <w:r>
        <w:rPr>
          <w:rFonts w:ascii="Times New Roman"/>
          <w:b w:val="false"/>
          <w:i w:val="false"/>
          <w:color w:val="000000"/>
          <w:sz w:val="28"/>
        </w:rPr>
        <w:t>
      a project of works (not required for individual residential buildings consisting of one or two floors, as well as other structures intended for personal use of citizens, household buildings on the territories of individual household plots/mobile complexes of container and block construction, as well as single-story buildings (structures) for trade, public catering and consumer services enterprises, constructed from prefabricated structures and not requiring approval from the sanitary-epidemiological services)/ design (design and estimate) documentation (submitted upon demolition of a blocked residential building).</w:t>
      </w:r>
    </w:p>
    <w:bookmarkEnd w:id="41"/>
    <w:bookmarkStart w:name="z44" w:id="42"/>
    <w:p>
      <w:pPr>
        <w:spacing w:after="0"/>
        <w:ind w:left="0"/>
        <w:jc w:val="both"/>
      </w:pPr>
      <w:r>
        <w:rPr>
          <w:rFonts w:ascii="Times New Roman"/>
          <w:b w:val="false"/>
          <w:i w:val="false"/>
          <w:color w:val="000000"/>
          <w:sz w:val="28"/>
        </w:rPr>
        <w:t>
      2) the portal:</w:t>
      </w:r>
    </w:p>
    <w:bookmarkEnd w:id="42"/>
    <w:bookmarkStart w:name="z45" w:id="43"/>
    <w:p>
      <w:pPr>
        <w:spacing w:after="0"/>
        <w:ind w:left="0"/>
        <w:jc w:val="both"/>
      </w:pPr>
      <w:r>
        <w:rPr>
          <w:rFonts w:ascii="Times New Roman"/>
          <w:b w:val="false"/>
          <w:i w:val="false"/>
          <w:color w:val="000000"/>
          <w:sz w:val="28"/>
        </w:rPr>
        <w:t xml:space="preserve">
      an application for individuals and legal entities in the forms according to Appendices 1 and 2 to this standard of a state service in the form of an electronic document certified by the electronic digital signature of a service recipient; </w:t>
      </w:r>
    </w:p>
    <w:bookmarkEnd w:id="43"/>
    <w:bookmarkStart w:name="z46" w:id="44"/>
    <w:p>
      <w:pPr>
        <w:spacing w:after="0"/>
        <w:ind w:left="0"/>
        <w:jc w:val="both"/>
      </w:pPr>
      <w:r>
        <w:rPr>
          <w:rFonts w:ascii="Times New Roman"/>
          <w:b w:val="false"/>
          <w:i w:val="false"/>
          <w:color w:val="000000"/>
          <w:sz w:val="28"/>
        </w:rPr>
        <w:t>
      an electronic copy of the written consent of the owner (co-owners) of the facility for conducting a set of works on post-utilization (demolition of buildings) and its parameters;</w:t>
      </w:r>
    </w:p>
    <w:bookmarkEnd w:id="44"/>
    <w:bookmarkStart w:name="z47" w:id="45"/>
    <w:p>
      <w:pPr>
        <w:spacing w:after="0"/>
        <w:ind w:left="0"/>
        <w:jc w:val="both"/>
      </w:pPr>
      <w:r>
        <w:rPr>
          <w:rFonts w:ascii="Times New Roman"/>
          <w:b w:val="false"/>
          <w:i w:val="false"/>
          <w:color w:val="000000"/>
          <w:sz w:val="28"/>
        </w:rPr>
        <w:t>
      an electronic copy of the notarized written consent of the owners of other premises (parts of the house) adjacent to the facility to be postutilized (demolition of buildings), if a set of works on postutilization of facilities (demolition of buildings) affects their interests;</w:t>
      </w:r>
    </w:p>
    <w:bookmarkEnd w:id="45"/>
    <w:bookmarkStart w:name="z48" w:id="46"/>
    <w:p>
      <w:pPr>
        <w:spacing w:after="0"/>
        <w:ind w:left="0"/>
        <w:jc w:val="both"/>
      </w:pPr>
      <w:r>
        <w:rPr>
          <w:rFonts w:ascii="Times New Roman"/>
          <w:b w:val="false"/>
          <w:i w:val="false"/>
          <w:color w:val="000000"/>
          <w:sz w:val="28"/>
        </w:rPr>
        <w:t>
      an electronic copy of the document of a relevant state body confirming the circumstances of impossibility of further use (operation) of this facility, determined by the results of examination of technical (physical) condition;</w:t>
      </w:r>
    </w:p>
    <w:bookmarkEnd w:id="46"/>
    <w:bookmarkStart w:name="z49" w:id="47"/>
    <w:p>
      <w:pPr>
        <w:spacing w:after="0"/>
        <w:ind w:left="0"/>
        <w:jc w:val="both"/>
      </w:pPr>
      <w:r>
        <w:rPr>
          <w:rFonts w:ascii="Times New Roman"/>
          <w:b w:val="false"/>
          <w:i w:val="false"/>
          <w:color w:val="000000"/>
          <w:sz w:val="28"/>
        </w:rPr>
        <w:t>
      electronic copy of the project of works (not required for individual residential buildings consisting of one or two floors, as well as other structures intended for personal use of citizens, household buildings on the territories of individual household plots/mobile complexes of container and block construction, as well as single-story buildings (structures) for trade, public catering and consumer services enterprises, constructed from prefabricated structures and not requiring approval from the sanitary-epidemiological services)/ design (design and estimate) documentation (submitted upon demolition of a blocked residential building).</w:t>
      </w:r>
    </w:p>
    <w:bookmarkEnd w:id="47"/>
    <w:bookmarkStart w:name="z50" w:id="48"/>
    <w:p>
      <w:pPr>
        <w:spacing w:after="0"/>
        <w:ind w:left="0"/>
        <w:jc w:val="both"/>
      </w:pPr>
      <w:r>
        <w:rPr>
          <w:rFonts w:ascii="Times New Roman"/>
          <w:b w:val="false"/>
          <w:i w:val="false"/>
          <w:color w:val="000000"/>
          <w:sz w:val="28"/>
        </w:rPr>
        <w:t>
      A service provider receives information on documents, confirming the identity, on state registration (re-registration) of a legal entity, a certificate of registered rights (encumbrances) on a real estate and its technical characteristics, a title document on a real estate from the relevant state information systems.</w:t>
      </w:r>
    </w:p>
    <w:bookmarkEnd w:id="48"/>
    <w:bookmarkStart w:name="z51" w:id="49"/>
    <w:p>
      <w:pPr>
        <w:spacing w:after="0"/>
        <w:ind w:left="0"/>
        <w:jc w:val="both"/>
      </w:pPr>
      <w:r>
        <w:rPr>
          <w:rFonts w:ascii="Times New Roman"/>
          <w:b w:val="false"/>
          <w:i w:val="false"/>
          <w:color w:val="000000"/>
          <w:sz w:val="28"/>
        </w:rPr>
        <w:t>
      When a service recipient submits all necessary documents:</w:t>
      </w:r>
    </w:p>
    <w:bookmarkEnd w:id="49"/>
    <w:bookmarkStart w:name="z52" w:id="50"/>
    <w:p>
      <w:pPr>
        <w:spacing w:after="0"/>
        <w:ind w:left="0"/>
        <w:jc w:val="both"/>
      </w:pPr>
      <w:r>
        <w:rPr>
          <w:rFonts w:ascii="Times New Roman"/>
          <w:b w:val="false"/>
          <w:i w:val="false"/>
          <w:color w:val="000000"/>
          <w:sz w:val="28"/>
        </w:rPr>
        <w:t>
      to a service provider (on purpose or by post) - confirmation of acceptance of the application on paper shall be a mark on his/her copy on registration in the office of a service provider indicating the date and time of receipt of the package of documents;</w:t>
      </w:r>
    </w:p>
    <w:bookmarkEnd w:id="50"/>
    <w:bookmarkStart w:name="z53" w:id="51"/>
    <w:p>
      <w:pPr>
        <w:spacing w:after="0"/>
        <w:ind w:left="0"/>
        <w:jc w:val="both"/>
      </w:pPr>
      <w:r>
        <w:rPr>
          <w:rFonts w:ascii="Times New Roman"/>
          <w:b w:val="false"/>
          <w:i w:val="false"/>
          <w:color w:val="000000"/>
          <w:sz w:val="28"/>
        </w:rPr>
        <w:t>
      through the portal - in the "personal account" of a service recipient the status of acceptance of the request for rendering a state service indicating the date of receipt of the result of a state service shall be displayed.</w:t>
      </w:r>
    </w:p>
    <w:bookmarkEnd w:id="51"/>
    <w:bookmarkStart w:name="z54" w:id="52"/>
    <w:p>
      <w:pPr>
        <w:spacing w:after="0"/>
        <w:ind w:left="0"/>
        <w:jc w:val="both"/>
      </w:pPr>
      <w:r>
        <w:rPr>
          <w:rFonts w:ascii="Times New Roman"/>
          <w:b w:val="false"/>
          <w:i w:val="false"/>
          <w:color w:val="000000"/>
          <w:sz w:val="28"/>
        </w:rPr>
        <w:t>
      10. The grounds for refusal on rendering a state service shall be:</w:t>
      </w:r>
    </w:p>
    <w:bookmarkEnd w:id="52"/>
    <w:bookmarkStart w:name="z55" w:id="53"/>
    <w:p>
      <w:pPr>
        <w:spacing w:after="0"/>
        <w:ind w:left="0"/>
        <w:jc w:val="both"/>
      </w:pPr>
      <w:r>
        <w:rPr>
          <w:rFonts w:ascii="Times New Roman"/>
          <w:b w:val="false"/>
          <w:i w:val="false"/>
          <w:color w:val="000000"/>
          <w:sz w:val="28"/>
        </w:rPr>
        <w:t>
      1) establishing the unreliability of the documents submitted by a service recipient for receiving a state service, and (or) the data (information) contained in them;</w:t>
      </w:r>
    </w:p>
    <w:bookmarkEnd w:id="53"/>
    <w:bookmarkStart w:name="z56" w:id="54"/>
    <w:p>
      <w:pPr>
        <w:spacing w:after="0"/>
        <w:ind w:left="0"/>
        <w:jc w:val="both"/>
      </w:pPr>
      <w:r>
        <w:rPr>
          <w:rFonts w:ascii="Times New Roman"/>
          <w:b w:val="false"/>
          <w:i w:val="false"/>
          <w:color w:val="000000"/>
          <w:sz w:val="28"/>
        </w:rPr>
        <w:t xml:space="preserve">
      2) non-compliance of a service recipient and (or) submitted materials, facilities, data and information required for rendering a state service with the requirements, established by this standard and other regulatory legal acts of the Republic of Kazakhstan. </w:t>
      </w:r>
    </w:p>
    <w:bookmarkEnd w:id="54"/>
    <w:bookmarkStart w:name="z57" w:id="55"/>
    <w:p>
      <w:pPr>
        <w:spacing w:after="0"/>
        <w:ind w:left="0"/>
        <w:jc w:val="both"/>
      </w:pPr>
      <w:r>
        <w:rPr>
          <w:rFonts w:ascii="Times New Roman"/>
          <w:b w:val="false"/>
          <w:i w:val="false"/>
          <w:color w:val="000000"/>
          <w:sz w:val="28"/>
        </w:rPr>
        <w:t>
      Chapter 3. The procedure for appealing decisions, actions (inaction) of the service provider and (or) his/her officials on the issues of rendering state services</w:t>
      </w:r>
    </w:p>
    <w:bookmarkEnd w:id="55"/>
    <w:bookmarkStart w:name="z58" w:id="56"/>
    <w:p>
      <w:pPr>
        <w:spacing w:after="0"/>
        <w:ind w:left="0"/>
        <w:jc w:val="both"/>
      </w:pPr>
      <w:r>
        <w:rPr>
          <w:rFonts w:ascii="Times New Roman"/>
          <w:b w:val="false"/>
          <w:i w:val="false"/>
          <w:color w:val="000000"/>
          <w:sz w:val="28"/>
        </w:rPr>
        <w:t>
      11. Appeal of decisions, actions (inaction) of the service provider and (or) his/her officials on the issues of rendering state services: the complaint shall be submitted to the head of the service provider at the address specified in paragraph 13 of this standard of a state service.</w:t>
      </w:r>
    </w:p>
    <w:bookmarkEnd w:id="56"/>
    <w:bookmarkStart w:name="z59" w:id="57"/>
    <w:p>
      <w:pPr>
        <w:spacing w:after="0"/>
        <w:ind w:left="0"/>
        <w:jc w:val="both"/>
      </w:pPr>
      <w:r>
        <w:rPr>
          <w:rFonts w:ascii="Times New Roman"/>
          <w:b w:val="false"/>
          <w:i w:val="false"/>
          <w:color w:val="000000"/>
          <w:sz w:val="28"/>
        </w:rPr>
        <w:t>
       Complaints are accepted in written form by mail or on purpose through the service provider's office.</w:t>
      </w:r>
    </w:p>
    <w:bookmarkEnd w:id="57"/>
    <w:bookmarkStart w:name="z60" w:id="58"/>
    <w:p>
      <w:pPr>
        <w:spacing w:after="0"/>
        <w:ind w:left="0"/>
        <w:jc w:val="both"/>
      </w:pPr>
      <w:r>
        <w:rPr>
          <w:rFonts w:ascii="Times New Roman"/>
          <w:b w:val="false"/>
          <w:i w:val="false"/>
          <w:color w:val="000000"/>
          <w:sz w:val="28"/>
        </w:rPr>
        <w:t>
      Confirmation of acceptance of the complaint shall be its registration (stamp, incoming number and date) in the office of the service provider indicating the name and initials of the person who accepted the complaint, the time and place of receiving a response to the complaint.</w:t>
      </w:r>
    </w:p>
    <w:bookmarkEnd w:id="58"/>
    <w:bookmarkStart w:name="z61" w:id="59"/>
    <w:p>
      <w:pPr>
        <w:spacing w:after="0"/>
        <w:ind w:left="0"/>
        <w:jc w:val="both"/>
      </w:pPr>
      <w:r>
        <w:rPr>
          <w:rFonts w:ascii="Times New Roman"/>
          <w:b w:val="false"/>
          <w:i w:val="false"/>
          <w:color w:val="000000"/>
          <w:sz w:val="28"/>
        </w:rPr>
        <w:t>
      The complaint of a service recipient, addressed to a service provider shall be subject to consideration within five working days from the date of its registration. A reasoned response on the results of the complaint shall be sent to the service recipient by mail or issued on purpose in the office of a service provider.</w:t>
      </w:r>
    </w:p>
    <w:bookmarkEnd w:id="59"/>
    <w:bookmarkStart w:name="z62" w:id="60"/>
    <w:p>
      <w:pPr>
        <w:spacing w:after="0"/>
        <w:ind w:left="0"/>
        <w:jc w:val="both"/>
      </w:pPr>
      <w:r>
        <w:rPr>
          <w:rFonts w:ascii="Times New Roman"/>
          <w:b w:val="false"/>
          <w:i w:val="false"/>
          <w:color w:val="000000"/>
          <w:sz w:val="28"/>
        </w:rPr>
        <w:t>
      In case of disagreement with the results of rendered state service, a service recipient may file a complaint with the authorized body for assessment and control over the quality of rendering state services.</w:t>
      </w:r>
    </w:p>
    <w:bookmarkEnd w:id="60"/>
    <w:bookmarkStart w:name="z63" w:id="61"/>
    <w:p>
      <w:pPr>
        <w:spacing w:after="0"/>
        <w:ind w:left="0"/>
        <w:jc w:val="both"/>
      </w:pPr>
      <w:r>
        <w:rPr>
          <w:rFonts w:ascii="Times New Roman"/>
          <w:b w:val="false"/>
          <w:i w:val="false"/>
          <w:color w:val="000000"/>
          <w:sz w:val="28"/>
        </w:rPr>
        <w:t>
      The complaint of a service recipient received by the authorized body for assessment and control over the quality of rendering state services shall be subject to consideration within fifteen working days from the date of its registration.</w:t>
      </w:r>
    </w:p>
    <w:bookmarkEnd w:id="61"/>
    <w:bookmarkStart w:name="z64" w:id="62"/>
    <w:p>
      <w:pPr>
        <w:spacing w:after="0"/>
        <w:ind w:left="0"/>
        <w:jc w:val="both"/>
      </w:pPr>
      <w:r>
        <w:rPr>
          <w:rFonts w:ascii="Times New Roman"/>
          <w:b w:val="false"/>
          <w:i w:val="false"/>
          <w:color w:val="000000"/>
          <w:sz w:val="28"/>
        </w:rPr>
        <w:t>
      12. In cases of disagreement with the results of the rendered state service, the service recipient shall appeal to the court in the manner established by the legislation of the Republic of Kazakhstan.</w:t>
      </w:r>
    </w:p>
    <w:bookmarkEnd w:id="62"/>
    <w:bookmarkStart w:name="z65" w:id="63"/>
    <w:p>
      <w:pPr>
        <w:spacing w:after="0"/>
        <w:ind w:left="0"/>
        <w:jc w:val="left"/>
      </w:pPr>
      <w:r>
        <w:rPr>
          <w:rFonts w:ascii="Times New Roman"/>
          <w:b/>
          <w:i w:val="false"/>
          <w:color w:val="000000"/>
        </w:rPr>
        <w:t xml:space="preserve"> Chapter 4. Other requirements, taking into account the features of rendering a state service,</w:t>
      </w:r>
      <w:r>
        <w:br/>
      </w:r>
      <w:r>
        <w:rPr>
          <w:rFonts w:ascii="Times New Roman"/>
          <w:b/>
          <w:i w:val="false"/>
          <w:color w:val="000000"/>
        </w:rPr>
        <w:t>including those rendered in electronic form and through the State corporation</w:t>
      </w:r>
    </w:p>
    <w:bookmarkEnd w:id="63"/>
    <w:bookmarkStart w:name="z66" w:id="64"/>
    <w:p>
      <w:pPr>
        <w:spacing w:after="0"/>
        <w:ind w:left="0"/>
        <w:jc w:val="both"/>
      </w:pPr>
      <w:r>
        <w:rPr>
          <w:rFonts w:ascii="Times New Roman"/>
          <w:b w:val="false"/>
          <w:i w:val="false"/>
          <w:color w:val="000000"/>
          <w:sz w:val="28"/>
        </w:rPr>
        <w:t>
      13. The addresses of rendering a state service of a service provider are placed at:</w:t>
      </w:r>
    </w:p>
    <w:bookmarkEnd w:id="64"/>
    <w:bookmarkStart w:name="z67" w:id="65"/>
    <w:p>
      <w:pPr>
        <w:spacing w:after="0"/>
        <w:ind w:left="0"/>
        <w:jc w:val="both"/>
      </w:pPr>
      <w:r>
        <w:rPr>
          <w:rFonts w:ascii="Times New Roman"/>
          <w:b w:val="false"/>
          <w:i w:val="false"/>
          <w:color w:val="000000"/>
          <w:sz w:val="28"/>
        </w:rPr>
        <w:t>
      1) the Internet resource of the Ministry www.miid.gov.kz;</w:t>
      </w:r>
    </w:p>
    <w:bookmarkEnd w:id="65"/>
    <w:bookmarkStart w:name="z68" w:id="66"/>
    <w:p>
      <w:pPr>
        <w:spacing w:after="0"/>
        <w:ind w:left="0"/>
        <w:jc w:val="both"/>
      </w:pPr>
      <w:r>
        <w:rPr>
          <w:rFonts w:ascii="Times New Roman"/>
          <w:b w:val="false"/>
          <w:i w:val="false"/>
          <w:color w:val="000000"/>
          <w:sz w:val="28"/>
        </w:rPr>
        <w:t>
      2) the service provider’s online resource.</w:t>
      </w:r>
    </w:p>
    <w:bookmarkEnd w:id="66"/>
    <w:bookmarkStart w:name="z69" w:id="67"/>
    <w:p>
      <w:pPr>
        <w:spacing w:after="0"/>
        <w:ind w:left="0"/>
        <w:jc w:val="both"/>
      </w:pPr>
      <w:r>
        <w:rPr>
          <w:rFonts w:ascii="Times New Roman"/>
          <w:b w:val="false"/>
          <w:i w:val="false"/>
          <w:color w:val="000000"/>
          <w:sz w:val="28"/>
        </w:rPr>
        <w:t>
      14. The service recipient shall have the opportunity to receive information on the procedure and status of rendering a state service in remote access mode through a Unified contact-center for the issues of rendering state services.</w:t>
      </w:r>
    </w:p>
    <w:bookmarkEnd w:id="67"/>
    <w:bookmarkStart w:name="z70" w:id="68"/>
    <w:p>
      <w:pPr>
        <w:spacing w:after="0"/>
        <w:ind w:left="0"/>
        <w:jc w:val="both"/>
      </w:pPr>
      <w:r>
        <w:rPr>
          <w:rFonts w:ascii="Times New Roman"/>
          <w:b w:val="false"/>
          <w:i w:val="false"/>
          <w:color w:val="000000"/>
          <w:sz w:val="28"/>
        </w:rPr>
        <w:t>
      15. Phones of the Unified contact-center for the issues of rendering state services:</w:t>
      </w:r>
    </w:p>
    <w:bookmarkEnd w:id="68"/>
    <w:bookmarkStart w:name="z71" w:id="69"/>
    <w:p>
      <w:pPr>
        <w:spacing w:after="0"/>
        <w:ind w:left="0"/>
        <w:jc w:val="both"/>
      </w:pPr>
      <w:r>
        <w:rPr>
          <w:rFonts w:ascii="Times New Roman"/>
          <w:b w:val="false"/>
          <w:i w:val="false"/>
          <w:color w:val="000000"/>
          <w:sz w:val="28"/>
        </w:rPr>
        <w:t>
      1414, 8 800 080 7777.</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standard</w:t>
            </w:r>
            <w:r>
              <w:br/>
            </w:r>
            <w:r>
              <w:rPr>
                <w:rFonts w:ascii="Times New Roman"/>
                <w:b w:val="false"/>
                <w:i w:val="false"/>
                <w:color w:val="000000"/>
                <w:sz w:val="20"/>
              </w:rPr>
              <w:t xml:space="preserve">of state service </w:t>
            </w:r>
            <w:r>
              <w:br/>
            </w:r>
            <w:r>
              <w:rPr>
                <w:rFonts w:ascii="Times New Roman"/>
                <w:b w:val="false"/>
                <w:i w:val="false"/>
                <w:color w:val="000000"/>
                <w:sz w:val="20"/>
              </w:rPr>
              <w:t xml:space="preserve"> “Issuance of the decision for</w:t>
            </w:r>
            <w:r>
              <w:br/>
            </w:r>
            <w:r>
              <w:rPr>
                <w:rFonts w:ascii="Times New Roman"/>
                <w:b w:val="false"/>
                <w:i w:val="false"/>
                <w:color w:val="000000"/>
                <w:sz w:val="20"/>
              </w:rPr>
              <w:t>conducting a set of works</w:t>
            </w:r>
            <w:r>
              <w:br/>
            </w:r>
            <w:r>
              <w:rPr>
                <w:rFonts w:ascii="Times New Roman"/>
                <w:b w:val="false"/>
                <w:i w:val="false"/>
                <w:color w:val="000000"/>
                <w:sz w:val="20"/>
              </w:rPr>
              <w:t>on post-utilization of facilities</w:t>
            </w:r>
            <w:r>
              <w:br/>
            </w:r>
            <w:r>
              <w:rPr>
                <w:rFonts w:ascii="Times New Roman"/>
                <w:b w:val="false"/>
                <w:i w:val="false"/>
                <w:color w:val="000000"/>
                <w:sz w:val="20"/>
              </w:rPr>
              <w:t>(demolition of buildings)”</w:t>
            </w:r>
            <w:r>
              <w:br/>
            </w:r>
            <w:r>
              <w:rPr>
                <w:rFonts w:ascii="Times New Roman"/>
                <w:b w:val="false"/>
                <w:i w:val="false"/>
                <w:color w:val="000000"/>
                <w:sz w:val="20"/>
              </w:rPr>
              <w:t>Form</w:t>
            </w:r>
            <w:r>
              <w:br/>
            </w:r>
            <w:r>
              <w:rPr>
                <w:rFonts w:ascii="Times New Roman"/>
                <w:b w:val="false"/>
                <w:i w:val="false"/>
                <w:color w:val="000000"/>
                <w:sz w:val="20"/>
              </w:rPr>
              <w:t>To the Mayor</w:t>
            </w:r>
            <w:r>
              <w:br/>
            </w:r>
            <w:r>
              <w:rPr>
                <w:rFonts w:ascii="Times New Roman"/>
                <w:b w:val="false"/>
                <w:i w:val="false"/>
                <w:color w:val="000000"/>
                <w:sz w:val="20"/>
              </w:rPr>
              <w:t xml:space="preserve"> (of the region, the cities</w:t>
            </w:r>
            <w:r>
              <w:br/>
            </w:r>
            <w:r>
              <w:rPr>
                <w:rFonts w:ascii="Times New Roman"/>
                <w:b w:val="false"/>
                <w:i w:val="false"/>
                <w:color w:val="000000"/>
                <w:sz w:val="20"/>
              </w:rPr>
              <w:t>Nur-Sultan, Almaty and</w:t>
            </w:r>
            <w:r>
              <w:br/>
            </w:r>
            <w:r>
              <w:rPr>
                <w:rFonts w:ascii="Times New Roman"/>
                <w:b w:val="false"/>
                <w:i w:val="false"/>
                <w:color w:val="000000"/>
                <w:sz w:val="20"/>
              </w:rPr>
              <w:t>Shymkent, district and city</w:t>
            </w:r>
            <w:r>
              <w:br/>
            </w:r>
            <w:r>
              <w:rPr>
                <w:rFonts w:ascii="Times New Roman"/>
                <w:b w:val="false"/>
                <w:i w:val="false"/>
                <w:color w:val="000000"/>
                <w:sz w:val="20"/>
              </w:rPr>
              <w:t>regional significance)</w:t>
            </w:r>
            <w:r>
              <w:br/>
            </w:r>
            <w:r>
              <w:rPr>
                <w:rFonts w:ascii="Times New Roman"/>
                <w:b w:val="false"/>
                <w:i w:val="false"/>
                <w:color w:val="000000"/>
                <w:sz w:val="20"/>
              </w:rPr>
              <w:t>___________________________</w:t>
            </w:r>
            <w:r>
              <w:br/>
            </w:r>
            <w:r>
              <w:rPr>
                <w:rFonts w:ascii="Times New Roman"/>
                <w:b w:val="false"/>
                <w:i w:val="false"/>
                <w:color w:val="000000"/>
                <w:sz w:val="20"/>
              </w:rPr>
              <w:t>from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(Surname, name, patronymic</w:t>
            </w:r>
            <w:r>
              <w:br/>
            </w:r>
            <w:r>
              <w:rPr>
                <w:rFonts w:ascii="Times New Roman"/>
                <w:b w:val="false"/>
                <w:i w:val="false"/>
                <w:color w:val="000000"/>
                <w:sz w:val="20"/>
              </w:rPr>
              <w:t>(if any)</w:t>
            </w:r>
            <w:r>
              <w:br/>
            </w:r>
            <w:r>
              <w:rPr>
                <w:rFonts w:ascii="Times New Roman"/>
                <w:b w:val="false"/>
                <w:i w:val="false"/>
                <w:color w:val="000000"/>
                <w:sz w:val="20"/>
              </w:rPr>
              <w:t>of an individual or</w:t>
            </w:r>
            <w:r>
              <w:br/>
            </w:r>
            <w:r>
              <w:rPr>
                <w:rFonts w:ascii="Times New Roman"/>
                <w:b w:val="false"/>
                <w:i w:val="false"/>
                <w:color w:val="000000"/>
                <w:sz w:val="20"/>
              </w:rPr>
              <w:t>name of a legal entity and (or)</w:t>
            </w:r>
            <w:r>
              <w:br/>
            </w:r>
            <w:r>
              <w:rPr>
                <w:rFonts w:ascii="Times New Roman"/>
                <w:b w:val="false"/>
                <w:i w:val="false"/>
                <w:color w:val="000000"/>
                <w:sz w:val="20"/>
              </w:rPr>
              <w:t>power of attorney)</w:t>
            </w:r>
            <w:r>
              <w:br/>
            </w:r>
            <w:r>
              <w:rPr>
                <w:rFonts w:ascii="Times New Roman"/>
                <w:b w:val="false"/>
                <w:i w:val="false"/>
                <w:color w:val="000000"/>
                <w:sz w:val="20"/>
              </w:rPr>
              <w:t>____________________________</w:t>
            </w:r>
            <w:r>
              <w:br/>
            </w:r>
            <w:r>
              <w:rPr>
                <w:rFonts w:ascii="Times New Roman"/>
                <w:b w:val="false"/>
                <w:i w:val="false"/>
                <w:color w:val="000000"/>
                <w:sz w:val="20"/>
              </w:rPr>
              <w:t>(Individual</w:t>
            </w:r>
            <w:r>
              <w:br/>
            </w:r>
            <w:r>
              <w:rPr>
                <w:rFonts w:ascii="Times New Roman"/>
                <w:b w:val="false"/>
                <w:i w:val="false"/>
                <w:color w:val="000000"/>
                <w:sz w:val="20"/>
              </w:rPr>
              <w:t>identification number</w:t>
            </w:r>
            <w:r>
              <w:br/>
            </w:r>
            <w:r>
              <w:rPr>
                <w:rFonts w:ascii="Times New Roman"/>
                <w:b w:val="false"/>
                <w:i w:val="false"/>
                <w:color w:val="000000"/>
                <w:sz w:val="20"/>
              </w:rPr>
              <w:t>(IIN) or business</w:t>
            </w:r>
            <w:r>
              <w:br/>
            </w:r>
            <w:r>
              <w:rPr>
                <w:rFonts w:ascii="Times New Roman"/>
                <w:b w:val="false"/>
                <w:i w:val="false"/>
                <w:color w:val="000000"/>
                <w:sz w:val="20"/>
              </w:rPr>
              <w:t>identification number</w:t>
            </w:r>
            <w:r>
              <w:br/>
            </w:r>
            <w:r>
              <w:rPr>
                <w:rFonts w:ascii="Times New Roman"/>
                <w:b w:val="false"/>
                <w:i w:val="false"/>
                <w:color w:val="000000"/>
                <w:sz w:val="20"/>
              </w:rPr>
              <w:t>(BIN)</w:t>
            </w:r>
            <w:r>
              <w:br/>
            </w:r>
            <w:r>
              <w:rPr>
                <w:rFonts w:ascii="Times New Roman"/>
                <w:b w:val="false"/>
                <w:i w:val="false"/>
                <w:color w:val="000000"/>
                <w:sz w:val="20"/>
              </w:rPr>
              <w:t>Address ___________________</w:t>
            </w:r>
            <w:r>
              <w:br/>
            </w:r>
            <w:r>
              <w:rPr>
                <w:rFonts w:ascii="Times New Roman"/>
                <w:b w:val="false"/>
                <w:i w:val="false"/>
                <w:color w:val="000000"/>
                <w:sz w:val="20"/>
              </w:rPr>
              <w:t>(legal address 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place of residence)</w:t>
            </w:r>
            <w:r>
              <w:br/>
            </w:r>
            <w:r>
              <w:rPr>
                <w:rFonts w:ascii="Times New Roman"/>
                <w:b w:val="false"/>
                <w:i w:val="false"/>
                <w:color w:val="000000"/>
                <w:sz w:val="20"/>
              </w:rPr>
              <w:t>contacts____________________</w:t>
            </w:r>
            <w:r>
              <w:br/>
            </w:r>
            <w:r>
              <w:rPr>
                <w:rFonts w:ascii="Times New Roman"/>
                <w:b w:val="false"/>
                <w:i w:val="false"/>
                <w:color w:val="000000"/>
                <w:sz w:val="20"/>
              </w:rPr>
              <w:t>(e-mail, telephone number)</w:t>
            </w:r>
          </w:p>
        </w:tc>
      </w:tr>
    </w:tbl>
    <w:bookmarkStart w:name="z75" w:id="70"/>
    <w:p>
      <w:pPr>
        <w:spacing w:after="0"/>
        <w:ind w:left="0"/>
        <w:jc w:val="left"/>
      </w:pPr>
      <w:r>
        <w:rPr>
          <w:rFonts w:ascii="Times New Roman"/>
          <w:b/>
          <w:i w:val="false"/>
          <w:color w:val="000000"/>
        </w:rPr>
        <w:t xml:space="preserve"> Application </w:t>
      </w:r>
    </w:p>
    <w:bookmarkEnd w:id="70"/>
    <w:bookmarkStart w:name="z76" w:id="71"/>
    <w:p>
      <w:pPr>
        <w:spacing w:after="0"/>
        <w:ind w:left="0"/>
        <w:jc w:val="both"/>
      </w:pPr>
      <w:r>
        <w:rPr>
          <w:rFonts w:ascii="Times New Roman"/>
          <w:b w:val="false"/>
          <w:i w:val="false"/>
          <w:color w:val="000000"/>
          <w:sz w:val="28"/>
        </w:rPr>
        <w:t>
      I hereby ask You to allow conducting a set of works on post-utilization of facilities</w:t>
      </w:r>
    </w:p>
    <w:bookmarkEnd w:id="71"/>
    <w:bookmarkStart w:name="z77" w:id="72"/>
    <w:p>
      <w:pPr>
        <w:spacing w:after="0"/>
        <w:ind w:left="0"/>
        <w:jc w:val="both"/>
      </w:pPr>
      <w:r>
        <w:rPr>
          <w:rFonts w:ascii="Times New Roman"/>
          <w:b w:val="false"/>
          <w:i w:val="false"/>
          <w:color w:val="000000"/>
          <w:sz w:val="28"/>
        </w:rPr>
        <w:t>
      (demolition of buildings) ______________________________________________</w:t>
      </w:r>
    </w:p>
    <w:bookmarkEnd w:id="72"/>
    <w:bookmarkStart w:name="z78" w:id="73"/>
    <w:p>
      <w:pPr>
        <w:spacing w:after="0"/>
        <w:ind w:left="0"/>
        <w:jc w:val="both"/>
      </w:pPr>
      <w:r>
        <w:rPr>
          <w:rFonts w:ascii="Times New Roman"/>
          <w:b w:val="false"/>
          <w:i w:val="false"/>
          <w:color w:val="000000"/>
          <w:sz w:val="28"/>
        </w:rPr>
        <w:t>
      __________________________________________________________________</w:t>
      </w:r>
    </w:p>
    <w:bookmarkEnd w:id="73"/>
    <w:bookmarkStart w:name="z79" w:id="74"/>
    <w:p>
      <w:pPr>
        <w:spacing w:after="0"/>
        <w:ind w:left="0"/>
        <w:jc w:val="both"/>
      </w:pPr>
      <w:r>
        <w:rPr>
          <w:rFonts w:ascii="Times New Roman"/>
          <w:b w:val="false"/>
          <w:i w:val="false"/>
          <w:color w:val="000000"/>
          <w:sz w:val="28"/>
        </w:rPr>
        <w:t>
      (full name of the facility)</w:t>
      </w:r>
    </w:p>
    <w:bookmarkEnd w:id="74"/>
    <w:bookmarkStart w:name="z80" w:id="75"/>
    <w:p>
      <w:pPr>
        <w:spacing w:after="0"/>
        <w:ind w:left="0"/>
        <w:jc w:val="both"/>
      </w:pPr>
      <w:r>
        <w:rPr>
          <w:rFonts w:ascii="Times New Roman"/>
          <w:b w:val="false"/>
          <w:i w:val="false"/>
          <w:color w:val="000000"/>
          <w:sz w:val="28"/>
        </w:rPr>
        <w:t>
      located at: _______________________________________________________________</w:t>
      </w:r>
    </w:p>
    <w:bookmarkEnd w:id="75"/>
    <w:bookmarkStart w:name="z81" w:id="76"/>
    <w:p>
      <w:pPr>
        <w:spacing w:after="0"/>
        <w:ind w:left="0"/>
        <w:jc w:val="both"/>
      </w:pPr>
      <w:r>
        <w:rPr>
          <w:rFonts w:ascii="Times New Roman"/>
          <w:b w:val="false"/>
          <w:i w:val="false"/>
          <w:color w:val="000000"/>
          <w:sz w:val="28"/>
        </w:rPr>
        <w:t>
      (location of the facility, premises (individual parts) of which shall be subject to conducting a set of works on post-utilization of facilities (demolition of buildings)</w:t>
      </w:r>
    </w:p>
    <w:bookmarkEnd w:id="76"/>
    <w:bookmarkStart w:name="z82" w:id="77"/>
    <w:p>
      <w:pPr>
        <w:spacing w:after="0"/>
        <w:ind w:left="0"/>
        <w:jc w:val="both"/>
      </w:pPr>
      <w:r>
        <w:rPr>
          <w:rFonts w:ascii="Times New Roman"/>
          <w:b w:val="false"/>
          <w:i w:val="false"/>
          <w:color w:val="000000"/>
          <w:sz w:val="28"/>
        </w:rPr>
        <w:t>
      I agree to the use of information constituting secret, protected by the Law</w:t>
      </w:r>
    </w:p>
    <w:bookmarkEnd w:id="77"/>
    <w:bookmarkStart w:name="z83" w:id="78"/>
    <w:p>
      <w:pPr>
        <w:spacing w:after="0"/>
        <w:ind w:left="0"/>
        <w:jc w:val="both"/>
      </w:pPr>
      <w:r>
        <w:rPr>
          <w:rFonts w:ascii="Times New Roman"/>
          <w:b w:val="false"/>
          <w:i w:val="false"/>
          <w:color w:val="000000"/>
          <w:sz w:val="28"/>
        </w:rPr>
        <w:t>
      contained in information systems.</w:t>
      </w:r>
    </w:p>
    <w:bookmarkEnd w:id="78"/>
    <w:bookmarkStart w:name="z84" w:id="79"/>
    <w:p>
      <w:pPr>
        <w:spacing w:after="0"/>
        <w:ind w:left="0"/>
        <w:jc w:val="both"/>
      </w:pPr>
      <w:r>
        <w:rPr>
          <w:rFonts w:ascii="Times New Roman"/>
          <w:b w:val="false"/>
          <w:i w:val="false"/>
          <w:color w:val="000000"/>
          <w:sz w:val="28"/>
        </w:rPr>
        <w:t>
      Accepted (signature) __________________</w:t>
      </w:r>
    </w:p>
    <w:bookmarkEnd w:id="79"/>
    <w:bookmarkStart w:name="z85" w:id="80"/>
    <w:p>
      <w:pPr>
        <w:spacing w:after="0"/>
        <w:ind w:left="0"/>
        <w:jc w:val="both"/>
      </w:pPr>
      <w:r>
        <w:rPr>
          <w:rFonts w:ascii="Times New Roman"/>
          <w:b w:val="false"/>
          <w:i w:val="false"/>
          <w:color w:val="000000"/>
          <w:sz w:val="28"/>
        </w:rPr>
        <w:t>
      Date: "_____"____________ 20__ .</w:t>
      </w:r>
    </w:p>
    <w:bookmarkEnd w:id="80"/>
    <w:bookmarkStart w:name="z86" w:id="81"/>
    <w:p>
      <w:pPr>
        <w:spacing w:after="0"/>
        <w:ind w:left="0"/>
        <w:jc w:val="both"/>
      </w:pPr>
      <w:r>
        <w:rPr>
          <w:rFonts w:ascii="Times New Roman"/>
          <w:b w:val="false"/>
          <w:i w:val="false"/>
          <w:color w:val="000000"/>
          <w:sz w:val="28"/>
        </w:rPr>
        <w:t xml:space="preserve">
      Passed (signature)___________ </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standard </w:t>
            </w:r>
            <w:r>
              <w:br/>
            </w:r>
            <w:r>
              <w:rPr>
                <w:rFonts w:ascii="Times New Roman"/>
                <w:b w:val="false"/>
                <w:i w:val="false"/>
                <w:color w:val="000000"/>
                <w:sz w:val="20"/>
              </w:rPr>
              <w:t>of state service</w:t>
            </w:r>
            <w:r>
              <w:br/>
            </w:r>
            <w:r>
              <w:rPr>
                <w:rFonts w:ascii="Times New Roman"/>
                <w:b w:val="false"/>
                <w:i w:val="false"/>
                <w:color w:val="000000"/>
                <w:sz w:val="20"/>
              </w:rPr>
              <w:t xml:space="preserve"> “Issuance of the decision for</w:t>
            </w:r>
            <w:r>
              <w:br/>
            </w:r>
            <w:r>
              <w:rPr>
                <w:rFonts w:ascii="Times New Roman"/>
                <w:b w:val="false"/>
                <w:i w:val="false"/>
                <w:color w:val="000000"/>
                <w:sz w:val="20"/>
              </w:rPr>
              <w:t>conducting a set of works</w:t>
            </w:r>
            <w:r>
              <w:br/>
            </w:r>
            <w:r>
              <w:rPr>
                <w:rFonts w:ascii="Times New Roman"/>
                <w:b w:val="false"/>
                <w:i w:val="false"/>
                <w:color w:val="000000"/>
                <w:sz w:val="20"/>
              </w:rPr>
              <w:t>on post-utilization of facilities</w:t>
            </w:r>
            <w:r>
              <w:br/>
            </w:r>
            <w:r>
              <w:rPr>
                <w:rFonts w:ascii="Times New Roman"/>
                <w:b w:val="false"/>
                <w:i w:val="false"/>
                <w:color w:val="000000"/>
                <w:sz w:val="20"/>
              </w:rPr>
              <w:t>(demolition of buildings)”</w:t>
            </w:r>
            <w:r>
              <w:br/>
            </w:r>
            <w:r>
              <w:rPr>
                <w:rFonts w:ascii="Times New Roman"/>
                <w:b w:val="false"/>
                <w:i w:val="false"/>
                <w:color w:val="000000"/>
                <w:sz w:val="20"/>
              </w:rPr>
              <w:t>Form</w:t>
            </w:r>
            <w:r>
              <w:br/>
            </w:r>
            <w:r>
              <w:rPr>
                <w:rFonts w:ascii="Times New Roman"/>
                <w:b w:val="false"/>
                <w:i w:val="false"/>
                <w:color w:val="000000"/>
                <w:sz w:val="20"/>
              </w:rPr>
              <w:t>To the Mayor</w:t>
            </w:r>
            <w:r>
              <w:br/>
            </w:r>
            <w:r>
              <w:rPr>
                <w:rFonts w:ascii="Times New Roman"/>
                <w:b w:val="false"/>
                <w:i w:val="false"/>
                <w:color w:val="000000"/>
                <w:sz w:val="20"/>
              </w:rPr>
              <w:t>(of the region, the cities</w:t>
            </w:r>
            <w:r>
              <w:br/>
            </w:r>
            <w:r>
              <w:rPr>
                <w:rFonts w:ascii="Times New Roman"/>
                <w:b w:val="false"/>
                <w:i w:val="false"/>
                <w:color w:val="000000"/>
                <w:sz w:val="20"/>
              </w:rPr>
              <w:t>Nur-Sultan, Almaty and</w:t>
            </w:r>
            <w:r>
              <w:br/>
            </w:r>
            <w:r>
              <w:rPr>
                <w:rFonts w:ascii="Times New Roman"/>
                <w:b w:val="false"/>
                <w:i w:val="false"/>
                <w:color w:val="000000"/>
                <w:sz w:val="20"/>
              </w:rPr>
              <w:t>Shymkent, district and city</w:t>
            </w:r>
            <w:r>
              <w:br/>
            </w:r>
            <w:r>
              <w:rPr>
                <w:rFonts w:ascii="Times New Roman"/>
                <w:b w:val="false"/>
                <w:i w:val="false"/>
                <w:color w:val="000000"/>
                <w:sz w:val="20"/>
              </w:rPr>
              <w:t>regional significance)</w:t>
            </w:r>
            <w:r>
              <w:br/>
            </w:r>
            <w:r>
              <w:rPr>
                <w:rFonts w:ascii="Times New Roman"/>
                <w:b w:val="false"/>
                <w:i w:val="false"/>
                <w:color w:val="000000"/>
                <w:sz w:val="20"/>
              </w:rPr>
              <w:t>___________________________</w:t>
            </w:r>
            <w:r>
              <w:br/>
            </w:r>
            <w:r>
              <w:rPr>
                <w:rFonts w:ascii="Times New Roman"/>
                <w:b w:val="false"/>
                <w:i w:val="false"/>
                <w:color w:val="000000"/>
                <w:sz w:val="20"/>
              </w:rPr>
              <w:t>from</w:t>
            </w:r>
            <w:r>
              <w:br/>
            </w:r>
            <w:r>
              <w:rPr>
                <w:rFonts w:ascii="Times New Roman"/>
                <w:b w:val="false"/>
                <w:i w:val="false"/>
                <w:color w:val="000000"/>
                <w:sz w:val="20"/>
              </w:rPr>
              <w:t>______________________</w:t>
            </w:r>
            <w:r>
              <w:br/>
            </w:r>
            <w:r>
              <w:rPr>
                <w:rFonts w:ascii="Times New Roman"/>
                <w:b w:val="false"/>
                <w:i w:val="false"/>
                <w:color w:val="000000"/>
                <w:sz w:val="20"/>
              </w:rPr>
              <w:t>(Surname, name, patronymic</w:t>
            </w:r>
            <w:r>
              <w:br/>
            </w:r>
            <w:r>
              <w:rPr>
                <w:rFonts w:ascii="Times New Roman"/>
                <w:b w:val="false"/>
                <w:i w:val="false"/>
                <w:color w:val="000000"/>
                <w:sz w:val="20"/>
              </w:rPr>
              <w:t>(if any)</w:t>
            </w:r>
            <w:r>
              <w:br/>
            </w:r>
            <w:r>
              <w:rPr>
                <w:rFonts w:ascii="Times New Roman"/>
                <w:b w:val="false"/>
                <w:i w:val="false"/>
                <w:color w:val="000000"/>
                <w:sz w:val="20"/>
              </w:rPr>
              <w:t>of an individual or</w:t>
            </w:r>
            <w:r>
              <w:br/>
            </w:r>
            <w:r>
              <w:rPr>
                <w:rFonts w:ascii="Times New Roman"/>
                <w:b w:val="false"/>
                <w:i w:val="false"/>
                <w:color w:val="000000"/>
                <w:sz w:val="20"/>
              </w:rPr>
              <w:t>name of a legal entity and (or)</w:t>
            </w:r>
            <w:r>
              <w:br/>
            </w:r>
            <w:r>
              <w:rPr>
                <w:rFonts w:ascii="Times New Roman"/>
                <w:b w:val="false"/>
                <w:i w:val="false"/>
                <w:color w:val="000000"/>
                <w:sz w:val="20"/>
              </w:rPr>
              <w:t>power of attorney)</w:t>
            </w:r>
            <w:r>
              <w:br/>
            </w:r>
            <w:r>
              <w:rPr>
                <w:rFonts w:ascii="Times New Roman"/>
                <w:b w:val="false"/>
                <w:i w:val="false"/>
                <w:color w:val="000000"/>
                <w:sz w:val="20"/>
              </w:rPr>
              <w:t>____________________________</w:t>
            </w:r>
            <w:r>
              <w:br/>
            </w:r>
            <w:r>
              <w:rPr>
                <w:rFonts w:ascii="Times New Roman"/>
                <w:b w:val="false"/>
                <w:i w:val="false"/>
                <w:color w:val="000000"/>
                <w:sz w:val="20"/>
              </w:rPr>
              <w:t>(Individual</w:t>
            </w:r>
            <w:r>
              <w:br/>
            </w:r>
            <w:r>
              <w:rPr>
                <w:rFonts w:ascii="Times New Roman"/>
                <w:b w:val="false"/>
                <w:i w:val="false"/>
                <w:color w:val="000000"/>
                <w:sz w:val="20"/>
              </w:rPr>
              <w:t>identification number</w:t>
            </w:r>
            <w:r>
              <w:br/>
            </w:r>
            <w:r>
              <w:rPr>
                <w:rFonts w:ascii="Times New Roman"/>
                <w:b w:val="false"/>
                <w:i w:val="false"/>
                <w:color w:val="000000"/>
                <w:sz w:val="20"/>
              </w:rPr>
              <w:t>(IIN) or business</w:t>
            </w:r>
            <w:r>
              <w:br/>
            </w:r>
            <w:r>
              <w:rPr>
                <w:rFonts w:ascii="Times New Roman"/>
                <w:b w:val="false"/>
                <w:i w:val="false"/>
                <w:color w:val="000000"/>
                <w:sz w:val="20"/>
              </w:rPr>
              <w:t>identification number</w:t>
            </w:r>
            <w:r>
              <w:br/>
            </w:r>
            <w:r>
              <w:rPr>
                <w:rFonts w:ascii="Times New Roman"/>
                <w:b w:val="false"/>
                <w:i w:val="false"/>
                <w:color w:val="000000"/>
                <w:sz w:val="20"/>
              </w:rPr>
              <w:t>(BIN)</w:t>
            </w:r>
            <w:r>
              <w:br/>
            </w:r>
            <w:r>
              <w:rPr>
                <w:rFonts w:ascii="Times New Roman"/>
                <w:b w:val="false"/>
                <w:i w:val="false"/>
                <w:color w:val="000000"/>
                <w:sz w:val="20"/>
              </w:rPr>
              <w:t>Address_____________________</w:t>
            </w:r>
            <w:r>
              <w:br/>
            </w:r>
            <w:r>
              <w:rPr>
                <w:rFonts w:ascii="Times New Roman"/>
                <w:b w:val="false"/>
                <w:i w:val="false"/>
                <w:color w:val="000000"/>
                <w:sz w:val="20"/>
              </w:rPr>
              <w:t>(legal address or</w:t>
            </w:r>
            <w:r>
              <w:br/>
            </w:r>
            <w:r>
              <w:rPr>
                <w:rFonts w:ascii="Times New Roman"/>
                <w:b w:val="false"/>
                <w:i w:val="false"/>
                <w:color w:val="000000"/>
                <w:sz w:val="20"/>
              </w:rPr>
              <w:t>place of residence)</w:t>
            </w:r>
            <w:r>
              <w:br/>
            </w:r>
            <w:r>
              <w:rPr>
                <w:rFonts w:ascii="Times New Roman"/>
                <w:b w:val="false"/>
                <w:i w:val="false"/>
                <w:color w:val="000000"/>
                <w:sz w:val="20"/>
              </w:rPr>
              <w:t>contacts____________________</w:t>
            </w:r>
            <w:r>
              <w:br/>
            </w:r>
            <w:r>
              <w:rPr>
                <w:rFonts w:ascii="Times New Roman"/>
                <w:b w:val="false"/>
                <w:i w:val="false"/>
                <w:color w:val="000000"/>
                <w:sz w:val="20"/>
              </w:rPr>
              <w:t>(e-mail, telephone number)</w:t>
            </w:r>
          </w:p>
        </w:tc>
      </w:tr>
    </w:tbl>
    <w:bookmarkStart w:name="z88" w:id="82"/>
    <w:p>
      <w:pPr>
        <w:spacing w:after="0"/>
        <w:ind w:left="0"/>
        <w:jc w:val="left"/>
      </w:pPr>
      <w:r>
        <w:rPr>
          <w:rFonts w:ascii="Times New Roman"/>
          <w:b/>
          <w:i w:val="false"/>
          <w:color w:val="000000"/>
        </w:rPr>
        <w:t xml:space="preserve"> Application</w:t>
      </w:r>
    </w:p>
    <w:bookmarkEnd w:id="82"/>
    <w:bookmarkStart w:name="z89" w:id="83"/>
    <w:p>
      <w:pPr>
        <w:spacing w:after="0"/>
        <w:ind w:left="0"/>
        <w:jc w:val="both"/>
      </w:pPr>
      <w:r>
        <w:rPr>
          <w:rFonts w:ascii="Times New Roman"/>
          <w:b w:val="false"/>
          <w:i w:val="false"/>
          <w:color w:val="000000"/>
          <w:sz w:val="28"/>
        </w:rPr>
        <w:t>
      I hereby ask You to allow conducting a set of works on post-utilization of facilities</w:t>
      </w:r>
    </w:p>
    <w:bookmarkEnd w:id="83"/>
    <w:bookmarkStart w:name="z90" w:id="84"/>
    <w:p>
      <w:pPr>
        <w:spacing w:after="0"/>
        <w:ind w:left="0"/>
        <w:jc w:val="both"/>
      </w:pPr>
      <w:r>
        <w:rPr>
          <w:rFonts w:ascii="Times New Roman"/>
          <w:b w:val="false"/>
          <w:i w:val="false"/>
          <w:color w:val="000000"/>
          <w:sz w:val="28"/>
        </w:rPr>
        <w:t>
      (demolition of buildings) ______________________________________________</w:t>
      </w:r>
    </w:p>
    <w:bookmarkEnd w:id="84"/>
    <w:bookmarkStart w:name="z91" w:id="85"/>
    <w:p>
      <w:pPr>
        <w:spacing w:after="0"/>
        <w:ind w:left="0"/>
        <w:jc w:val="both"/>
      </w:pPr>
      <w:r>
        <w:rPr>
          <w:rFonts w:ascii="Times New Roman"/>
          <w:b w:val="false"/>
          <w:i w:val="false"/>
          <w:color w:val="000000"/>
          <w:sz w:val="28"/>
        </w:rPr>
        <w:t>
      __________________________________________________________________</w:t>
      </w:r>
    </w:p>
    <w:bookmarkEnd w:id="85"/>
    <w:bookmarkStart w:name="z92" w:id="86"/>
    <w:p>
      <w:pPr>
        <w:spacing w:after="0"/>
        <w:ind w:left="0"/>
        <w:jc w:val="both"/>
      </w:pPr>
      <w:r>
        <w:rPr>
          <w:rFonts w:ascii="Times New Roman"/>
          <w:b w:val="false"/>
          <w:i w:val="false"/>
          <w:color w:val="000000"/>
          <w:sz w:val="28"/>
        </w:rPr>
        <w:t>
      (full name of the facility)</w:t>
      </w:r>
    </w:p>
    <w:bookmarkEnd w:id="86"/>
    <w:bookmarkStart w:name="z93" w:id="87"/>
    <w:p>
      <w:pPr>
        <w:spacing w:after="0"/>
        <w:ind w:left="0"/>
        <w:jc w:val="both"/>
      </w:pPr>
      <w:r>
        <w:rPr>
          <w:rFonts w:ascii="Times New Roman"/>
          <w:b w:val="false"/>
          <w:i w:val="false"/>
          <w:color w:val="000000"/>
          <w:sz w:val="28"/>
        </w:rPr>
        <w:t>
      located at: _______________________________________________________________</w:t>
      </w:r>
    </w:p>
    <w:bookmarkEnd w:id="87"/>
    <w:bookmarkStart w:name="z94" w:id="88"/>
    <w:p>
      <w:pPr>
        <w:spacing w:after="0"/>
        <w:ind w:left="0"/>
        <w:jc w:val="both"/>
      </w:pPr>
      <w:r>
        <w:rPr>
          <w:rFonts w:ascii="Times New Roman"/>
          <w:b w:val="false"/>
          <w:i w:val="false"/>
          <w:color w:val="000000"/>
          <w:sz w:val="28"/>
        </w:rPr>
        <w:t>
      (location of an individual residential building, as well as other buildings, intended for personal use of citizens, household buildings on the territories of individual household plots/mobile complexes of container and block construction, as well as single-story buildings (structures) for trade, public catering and consumer services enterprises, constructed from prefabricated structures and not requiring approval from the sanitary-epidemiological services) which are subject to conducting a set of works on post-utilization of facilities (demolition of buildings)</w:t>
      </w:r>
    </w:p>
    <w:bookmarkEnd w:id="88"/>
    <w:bookmarkStart w:name="z95" w:id="89"/>
    <w:p>
      <w:pPr>
        <w:spacing w:after="0"/>
        <w:ind w:left="0"/>
        <w:jc w:val="both"/>
      </w:pPr>
      <w:r>
        <w:rPr>
          <w:rFonts w:ascii="Times New Roman"/>
          <w:b w:val="false"/>
          <w:i w:val="false"/>
          <w:color w:val="000000"/>
          <w:sz w:val="28"/>
        </w:rPr>
        <w:t>
      I agree to the use of information constituting secret, protected by the Law</w:t>
      </w:r>
    </w:p>
    <w:bookmarkEnd w:id="89"/>
    <w:bookmarkStart w:name="z96" w:id="90"/>
    <w:p>
      <w:pPr>
        <w:spacing w:after="0"/>
        <w:ind w:left="0"/>
        <w:jc w:val="both"/>
      </w:pPr>
      <w:r>
        <w:rPr>
          <w:rFonts w:ascii="Times New Roman"/>
          <w:b w:val="false"/>
          <w:i w:val="false"/>
          <w:color w:val="000000"/>
          <w:sz w:val="28"/>
        </w:rPr>
        <w:t>
      contained in information systems.</w:t>
      </w:r>
    </w:p>
    <w:bookmarkEnd w:id="90"/>
    <w:bookmarkStart w:name="z97" w:id="91"/>
    <w:p>
      <w:pPr>
        <w:spacing w:after="0"/>
        <w:ind w:left="0"/>
        <w:jc w:val="both"/>
      </w:pPr>
      <w:r>
        <w:rPr>
          <w:rFonts w:ascii="Times New Roman"/>
          <w:b w:val="false"/>
          <w:i w:val="false"/>
          <w:color w:val="000000"/>
          <w:sz w:val="28"/>
        </w:rPr>
        <w:t>
      Accepted (signature)________________</w:t>
      </w:r>
    </w:p>
    <w:bookmarkEnd w:id="91"/>
    <w:bookmarkStart w:name="z98" w:id="92"/>
    <w:p>
      <w:pPr>
        <w:spacing w:after="0"/>
        <w:ind w:left="0"/>
        <w:jc w:val="both"/>
      </w:pPr>
      <w:r>
        <w:rPr>
          <w:rFonts w:ascii="Times New Roman"/>
          <w:b w:val="false"/>
          <w:i w:val="false"/>
          <w:color w:val="000000"/>
          <w:sz w:val="28"/>
        </w:rPr>
        <w:t>
      Date: "_____"____________ 20__.</w:t>
      </w:r>
    </w:p>
    <w:bookmarkEnd w:id="92"/>
    <w:bookmarkStart w:name="z99" w:id="93"/>
    <w:p>
      <w:pPr>
        <w:spacing w:after="0"/>
        <w:ind w:left="0"/>
        <w:jc w:val="both"/>
      </w:pPr>
      <w:r>
        <w:rPr>
          <w:rFonts w:ascii="Times New Roman"/>
          <w:b w:val="false"/>
          <w:i w:val="false"/>
          <w:color w:val="000000"/>
          <w:sz w:val="28"/>
        </w:rPr>
        <w:t>
      Passed (signature) ___________</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