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56df" w14:textId="df75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microcredits electronically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28, 2019 № 217. Registered with the Ministry of Justice of the Republic of Kazakhstan on December 6, 2019 № 19714.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Microfinance Activities”,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 81 dated 3010.2023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the provision of microcredits electronically.</w:t>
      </w:r>
    </w:p>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the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implementation of measures, stipulated by subclause 2) of this clause and clause 3 of this resolution.</w:t>
      </w:r>
    </w:p>
    <w:p>
      <w:pPr>
        <w:spacing w:after="0"/>
        <w:ind w:left="0"/>
        <w:jc w:val="both"/>
      </w:pPr>
      <w:r>
        <w:rPr>
          <w:rFonts w:ascii="Times New Roman"/>
          <w:b w:val="false"/>
          <w:i w:val="false"/>
          <w:color w:val="000000"/>
          <w:sz w:val="28"/>
        </w:rPr>
        <w:t>
      3. The Department of External Communications – the Press Service of the National Bank shall ensure, within ten calendar days after the state registration of this resolution, sending of its copy for official publication to printed periodicals.</w:t>
      </w:r>
    </w:p>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Smolyakov O.A.</w:t>
      </w:r>
    </w:p>
    <w:p>
      <w:pPr>
        <w:spacing w:after="0"/>
        <w:ind w:left="0"/>
        <w:jc w:val="both"/>
      </w:pPr>
      <w:r>
        <w:rPr>
          <w:rFonts w:ascii="Times New Roman"/>
          <w:b w:val="false"/>
          <w:i w:val="false"/>
          <w:color w:val="000000"/>
          <w:sz w:val="28"/>
        </w:rPr>
        <w:t>
      5. This resolution shall come into force from January 1,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w:t>
            </w:r>
            <w:r>
              <w:br/>
            </w:r>
            <w:r>
              <w:rPr>
                <w:rFonts w:ascii="Times New Roman"/>
                <w:b w:val="false"/>
                <w:i w:val="false"/>
                <w:color w:val="000000"/>
                <w:sz w:val="20"/>
              </w:rPr>
              <w:t>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28, 2019 </w:t>
            </w:r>
            <w:r>
              <w:br/>
            </w:r>
            <w:r>
              <w:rPr>
                <w:rFonts w:ascii="Times New Roman"/>
                <w:b w:val="false"/>
                <w:i w:val="false"/>
                <w:color w:val="000000"/>
                <w:sz w:val="20"/>
              </w:rPr>
              <w:t>№ 217</w:t>
            </w:r>
          </w:p>
        </w:tc>
      </w:tr>
    </w:tbl>
    <w:p>
      <w:pPr>
        <w:spacing w:after="0"/>
        <w:ind w:left="0"/>
        <w:jc w:val="left"/>
      </w:pPr>
      <w:r>
        <w:rPr>
          <w:rFonts w:ascii="Times New Roman"/>
          <w:b/>
          <w:i w:val="false"/>
          <w:color w:val="000000"/>
        </w:rPr>
        <w:t xml:space="preserve"> The Rules for the provision of microcredits electronically</w:t>
      </w:r>
    </w:p>
    <w:p>
      <w:pPr>
        <w:spacing w:after="0"/>
        <w:ind w:left="0"/>
        <w:jc w:val="both"/>
      </w:pPr>
      <w:r>
        <w:rPr>
          <w:rFonts w:ascii="Times New Roman"/>
          <w:b w:val="false"/>
          <w:i w:val="false"/>
          <w:color w:val="ff0000"/>
          <w:sz w:val="28"/>
        </w:rPr>
        <w:t>
      Footnote. The rules are as amended by Resolution № 81 of the Board of the Agency for Regulation and Development of the Financial Market of the Republic of Kazakhstan dated 30.10.2023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microcredits electronically (hereinafter referred to as the Rules) have been developed in accordance with paragraph 3-1 of Article 3 of the Law of the Republic of Kazakhstan “On Microfinance Activities” (hereinafter referred to as the Law) and shall determine the procedure for providing microcredits electronically.</w:t>
      </w:r>
    </w:p>
    <w:p>
      <w:pPr>
        <w:spacing w:after="0"/>
        <w:ind w:left="0"/>
        <w:jc w:val="both"/>
      </w:pPr>
      <w:r>
        <w:rPr>
          <w:rFonts w:ascii="Times New Roman"/>
          <w:b w:val="false"/>
          <w:i w:val="false"/>
          <w:color w:val="000000"/>
          <w:sz w:val="28"/>
        </w:rPr>
        <w:t>
      2. The Rules shall use the concepts provided for by the Law, as well as the following concepts:</w:t>
      </w:r>
    </w:p>
    <w:p>
      <w:pPr>
        <w:spacing w:after="0"/>
        <w:ind w:left="0"/>
        <w:jc w:val="both"/>
      </w:pPr>
      <w:r>
        <w:rPr>
          <w:rFonts w:ascii="Times New Roman"/>
          <w:b w:val="false"/>
          <w:i w:val="false"/>
          <w:color w:val="000000"/>
          <w:sz w:val="28"/>
        </w:rPr>
        <w:t>
      1) automated information system - microloan information system that shall automate the provision of microloan electronically in an organization engaged in microfinance activities;</w:t>
      </w:r>
    </w:p>
    <w:p>
      <w:pPr>
        <w:spacing w:after="0"/>
        <w:ind w:left="0"/>
        <w:jc w:val="both"/>
      </w:pPr>
      <w:r>
        <w:rPr>
          <w:rFonts w:ascii="Times New Roman"/>
          <w:b w:val="false"/>
          <w:i w:val="false"/>
          <w:color w:val="000000"/>
          <w:sz w:val="28"/>
        </w:rPr>
        <w:t>
      2) authentication - a procedure for verifying the authenticity of the client, electronic messages and other documents, including electronic copies of documents necessary to provide microcredit, as well as identifying the client and the content of his/her expression of will;</w:t>
      </w:r>
    </w:p>
    <w:p>
      <w:pPr>
        <w:spacing w:after="0"/>
        <w:ind w:left="0"/>
        <w:jc w:val="both"/>
      </w:pPr>
      <w:r>
        <w:rPr>
          <w:rFonts w:ascii="Times New Roman"/>
          <w:b w:val="false"/>
          <w:i w:val="false"/>
          <w:color w:val="000000"/>
          <w:sz w:val="28"/>
        </w:rPr>
        <w:t>
      3) debt - the amount of debt on microcredit, including the amount of the principal balance, accrued but unpaid remuneration, penalties (fines, penalties) provided for in the microcredit agreement concluded with the borrower;</w:t>
      </w:r>
    </w:p>
    <w:p>
      <w:pPr>
        <w:spacing w:after="0"/>
        <w:ind w:left="0"/>
        <w:jc w:val="both"/>
      </w:pPr>
      <w:r>
        <w:rPr>
          <w:rFonts w:ascii="Times New Roman"/>
          <w:b w:val="false"/>
          <w:i w:val="false"/>
          <w:color w:val="000000"/>
          <w:sz w:val="28"/>
        </w:rPr>
        <w:t>
      4) biometric identification – a set of measures that identify a person based on physiological and biological immutable characteristics;</w:t>
      </w:r>
    </w:p>
    <w:p>
      <w:pPr>
        <w:spacing w:after="0"/>
        <w:ind w:left="0"/>
        <w:jc w:val="both"/>
      </w:pPr>
      <w:r>
        <w:rPr>
          <w:rFonts w:ascii="Times New Roman"/>
          <w:b w:val="false"/>
          <w:i w:val="false"/>
          <w:color w:val="000000"/>
          <w:sz w:val="28"/>
        </w:rPr>
        <w:t>
      5) one-time password – a password valid only for one authentication session of subjects receiving services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personal account – a multifunctional secure service of an automated information system that ensures interaction between an organization carrying out microfinance activities and a client;</w:t>
      </w:r>
    </w:p>
    <w:p>
      <w:pPr>
        <w:spacing w:after="0"/>
        <w:ind w:left="0"/>
        <w:jc w:val="both"/>
      </w:pPr>
      <w:r>
        <w:rPr>
          <w:rFonts w:ascii="Times New Roman"/>
          <w:b w:val="false"/>
          <w:i w:val="false"/>
          <w:color w:val="000000"/>
          <w:sz w:val="28"/>
        </w:rPr>
        <w:t>
      8) client - an individual or legal entity who has agreed with an organization engaged in microfinance activities to provide microcredit or has submitted (intends to submit) an application for microcredit;</w:t>
      </w:r>
    </w:p>
    <w:p>
      <w:pPr>
        <w:spacing w:after="0"/>
        <w:ind w:left="0"/>
        <w:jc w:val="both"/>
      </w:pPr>
      <w:r>
        <w:rPr>
          <w:rFonts w:ascii="Times New Roman"/>
          <w:b w:val="false"/>
          <w:i w:val="false"/>
          <w:color w:val="000000"/>
          <w:sz w:val="28"/>
        </w:rPr>
        <w:t>
      9) client identification – the procedure for the client to provide his/her identification data for further authentication;</w:t>
      </w:r>
    </w:p>
    <w:p>
      <w:pPr>
        <w:spacing w:after="0"/>
        <w:ind w:left="0"/>
        <w:jc w:val="both"/>
      </w:pPr>
      <w:r>
        <w:rPr>
          <w:rFonts w:ascii="Times New Roman"/>
          <w:b w:val="false"/>
          <w:i w:val="false"/>
          <w:color w:val="000000"/>
          <w:sz w:val="28"/>
        </w:rPr>
        <w:t>
      10) mobile application - a software product used on a subscriber’s cellular device and providing access to a personal account via cellular services or the Internet;</w:t>
      </w:r>
    </w:p>
    <w:p>
      <w:pPr>
        <w:spacing w:after="0"/>
        <w:ind w:left="0"/>
        <w:jc w:val="both"/>
      </w:pPr>
      <w:r>
        <w:rPr>
          <w:rFonts w:ascii="Times New Roman"/>
          <w:b w:val="false"/>
          <w:i w:val="false"/>
          <w:color w:val="000000"/>
          <w:sz w:val="28"/>
        </w:rPr>
        <w:t>
      11) identifier - a unique digital, alphabetic or containing other symbols code assigned to the client to enter his/her personal account;</w:t>
      </w:r>
    </w:p>
    <w:p>
      <w:pPr>
        <w:spacing w:after="0"/>
        <w:ind w:left="0"/>
        <w:jc w:val="both"/>
      </w:pPr>
      <w:r>
        <w:rPr>
          <w:rFonts w:ascii="Times New Roman"/>
          <w:b w:val="false"/>
          <w:i w:val="false"/>
          <w:color w:val="000000"/>
          <w:sz w:val="28"/>
        </w:rPr>
        <w:t>
      12) identification data exchange center (IDEC) - an operational center of the interbank money transfer system, ensuring interaction with financial organizations for the exchange of customer data from available sources for carrying out customer identification procedures;</w:t>
      </w:r>
    </w:p>
    <w:p>
      <w:pPr>
        <w:spacing w:after="0"/>
        <w:ind w:left="0"/>
        <w:jc w:val="both"/>
      </w:pPr>
      <w:r>
        <w:rPr>
          <w:rFonts w:ascii="Times New Roman"/>
          <w:b w:val="false"/>
          <w:i w:val="false"/>
          <w:color w:val="000000"/>
          <w:sz w:val="28"/>
        </w:rPr>
        <w:t>
      13) smart card – a plastic card with a built-in microcircuit;</w:t>
      </w:r>
    </w:p>
    <w:p>
      <w:pPr>
        <w:spacing w:after="0"/>
        <w:ind w:left="0"/>
        <w:jc w:val="both"/>
      </w:pPr>
      <w:r>
        <w:rPr>
          <w:rFonts w:ascii="Times New Roman"/>
          <w:b w:val="false"/>
          <w:i w:val="false"/>
          <w:color w:val="000000"/>
          <w:sz w:val="28"/>
        </w:rPr>
        <w:t>
      14) terminal – an electronic-mechanical device designed to carry out operations related to the provision of microcredits;</w:t>
      </w:r>
    </w:p>
    <w:p>
      <w:pPr>
        <w:spacing w:after="0"/>
        <w:ind w:left="0"/>
        <w:jc w:val="both"/>
      </w:pPr>
      <w:r>
        <w:rPr>
          <w:rFonts w:ascii="Times New Roman"/>
          <w:b w:val="false"/>
          <w:i w:val="false"/>
          <w:color w:val="000000"/>
          <w:sz w:val="28"/>
        </w:rPr>
        <w:t>
      15) token – a device designed to ensure the information security of the user, as well as to identify its owner, and secure remote access to information resources;</w:t>
      </w:r>
    </w:p>
    <w:p>
      <w:pPr>
        <w:spacing w:after="0"/>
        <w:ind w:left="0"/>
        <w:jc w:val="both"/>
      </w:pPr>
      <w:r>
        <w:rPr>
          <w:rFonts w:ascii="Times New Roman"/>
          <w:b w:val="false"/>
          <w:i w:val="false"/>
          <w:color w:val="000000"/>
          <w:sz w:val="28"/>
        </w:rPr>
        <w:t>
      16) authorized body - a state body that carries out state regulation, control and supervision of the financial market and financial organizations;</w:t>
      </w:r>
    </w:p>
    <w:p>
      <w:pPr>
        <w:spacing w:after="0"/>
        <w:ind w:left="0"/>
        <w:jc w:val="both"/>
      </w:pPr>
      <w:r>
        <w:rPr>
          <w:rFonts w:ascii="Times New Roman"/>
          <w:b w:val="false"/>
          <w:i w:val="false"/>
          <w:color w:val="000000"/>
          <w:sz w:val="28"/>
        </w:rPr>
        <w:t>
      17) “electronic government” web portal - an information system that is a single window of access to all consolidated government information, including the regulatory legal framework, and to government services, services for issuing technical specifications for connecting to the networks of natural monopoly entities and services of quasi-state entities sector, provided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Providing microcredits electronically</w:t>
      </w:r>
    </w:p>
    <w:p>
      <w:pPr>
        <w:spacing w:after="0"/>
        <w:ind w:left="0"/>
        <w:jc w:val="both"/>
      </w:pPr>
      <w:r>
        <w:rPr>
          <w:rFonts w:ascii="Times New Roman"/>
          <w:b w:val="false"/>
          <w:i w:val="false"/>
          <w:color w:val="000000"/>
          <w:sz w:val="28"/>
        </w:rPr>
        <w:t>
      3. Operations related to the provision of microcredits electronically shall be carried out using an automated information system that meets the requirements of Chapter 3 of these Rules in the client’s personal account on the Internet resource, in a mobile application and (or) terminals of an organization carrying out microfinance activities.</w:t>
      </w:r>
    </w:p>
    <w:p>
      <w:pPr>
        <w:spacing w:after="0"/>
        <w:ind w:left="0"/>
        <w:jc w:val="both"/>
      </w:pPr>
      <w:r>
        <w:rPr>
          <w:rFonts w:ascii="Times New Roman"/>
          <w:b w:val="false"/>
          <w:i w:val="false"/>
          <w:color w:val="000000"/>
          <w:sz w:val="28"/>
        </w:rPr>
        <w:t>
      4. 10 (ten) working days before the opening of an Internet resource, mobile application and (or) terminal through which microcredits shall be provided electronically, the organization carrying out microfinance activities shall notify the authorized body about this.</w:t>
      </w:r>
    </w:p>
    <w:p>
      <w:pPr>
        <w:spacing w:after="0"/>
        <w:ind w:left="0"/>
        <w:jc w:val="both"/>
      </w:pPr>
      <w:r>
        <w:rPr>
          <w:rFonts w:ascii="Times New Roman"/>
          <w:b w:val="false"/>
          <w:i w:val="false"/>
          <w:color w:val="000000"/>
          <w:sz w:val="28"/>
        </w:rPr>
        <w:t>
      The notification sent to the authorized body shall contain:</w:t>
      </w:r>
    </w:p>
    <w:p>
      <w:pPr>
        <w:spacing w:after="0"/>
        <w:ind w:left="0"/>
        <w:jc w:val="both"/>
      </w:pPr>
      <w:r>
        <w:rPr>
          <w:rFonts w:ascii="Times New Roman"/>
          <w:b w:val="false"/>
          <w:i w:val="false"/>
          <w:color w:val="000000"/>
          <w:sz w:val="28"/>
        </w:rPr>
        <w:t>
      1) name of the Internet resource, mobile application and (or) location of the terminal of the organization carrying out microfinance activities;</w:t>
      </w:r>
    </w:p>
    <w:p>
      <w:pPr>
        <w:spacing w:after="0"/>
        <w:ind w:left="0"/>
        <w:jc w:val="both"/>
      </w:pPr>
      <w:r>
        <w:rPr>
          <w:rFonts w:ascii="Times New Roman"/>
          <w:b w:val="false"/>
          <w:i w:val="false"/>
          <w:color w:val="000000"/>
          <w:sz w:val="28"/>
        </w:rPr>
        <w:t>
      2) a list of services (operations) that can be provided through an Internet resource, mobile application and (or) terminal of an organization engaged in microfinance activities;</w:t>
      </w:r>
    </w:p>
    <w:p>
      <w:pPr>
        <w:spacing w:after="0"/>
        <w:ind w:left="0"/>
        <w:jc w:val="both"/>
      </w:pPr>
      <w:r>
        <w:rPr>
          <w:rFonts w:ascii="Times New Roman"/>
          <w:b w:val="false"/>
          <w:i w:val="false"/>
          <w:color w:val="000000"/>
          <w:sz w:val="28"/>
        </w:rPr>
        <w:t>
      3) information about the availability of approved procedures for the security and protection of information from unauthorized access by an organization engaged in microfinance activities when providing services through an Internet resource, mobile application and (or) terminal, with supporting documents attached.</w:t>
      </w:r>
    </w:p>
    <w:p>
      <w:pPr>
        <w:spacing w:after="0"/>
        <w:ind w:left="0"/>
        <w:jc w:val="both"/>
      </w:pPr>
      <w:r>
        <w:rPr>
          <w:rFonts w:ascii="Times New Roman"/>
          <w:b w:val="false"/>
          <w:i w:val="false"/>
          <w:color w:val="000000"/>
          <w:sz w:val="28"/>
        </w:rPr>
        <w:t>
      5. If the information contained in the notification specified in paragraph 4 of the Rules changes, the organization carrying out microfinance activities notifies the authorized body 10 (ten) working days before such changes are made.</w:t>
      </w:r>
    </w:p>
    <w:p>
      <w:pPr>
        <w:spacing w:after="0"/>
        <w:ind w:left="0"/>
        <w:jc w:val="both"/>
      </w:pPr>
      <w:r>
        <w:rPr>
          <w:rFonts w:ascii="Times New Roman"/>
          <w:b w:val="false"/>
          <w:i w:val="false"/>
          <w:color w:val="000000"/>
          <w:sz w:val="28"/>
        </w:rPr>
        <w:t>
      6. To register in the personal account, the individual shall enter (attaches) the following data:</w:t>
      </w:r>
    </w:p>
    <w:p>
      <w:pPr>
        <w:spacing w:after="0"/>
        <w:ind w:left="0"/>
        <w:jc w:val="both"/>
      </w:pPr>
      <w:r>
        <w:rPr>
          <w:rFonts w:ascii="Times New Roman"/>
          <w:b w:val="false"/>
          <w:i w:val="false"/>
          <w:color w:val="000000"/>
          <w:sz w:val="28"/>
        </w:rPr>
        <w:t>
      surname, first name, patronymic (if any) specified in the identity document, with the exception of the birth certificate;</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number and validity period of the identity document, except for the birth certificate;</w:t>
      </w:r>
    </w:p>
    <w:p>
      <w:pPr>
        <w:spacing w:after="0"/>
        <w:ind w:left="0"/>
        <w:jc w:val="both"/>
      </w:pPr>
      <w:r>
        <w:rPr>
          <w:rFonts w:ascii="Times New Roman"/>
          <w:b w:val="false"/>
          <w:i w:val="false"/>
          <w:color w:val="000000"/>
          <w:sz w:val="28"/>
        </w:rPr>
        <w:t>
      the subscriber number of the cellular communication device;</w:t>
      </w:r>
    </w:p>
    <w:p>
      <w:pPr>
        <w:spacing w:after="0"/>
        <w:ind w:left="0"/>
        <w:jc w:val="both"/>
      </w:pPr>
      <w:r>
        <w:rPr>
          <w:rFonts w:ascii="Times New Roman"/>
          <w:b w:val="false"/>
          <w:i w:val="false"/>
          <w:color w:val="000000"/>
          <w:sz w:val="28"/>
        </w:rPr>
        <w:t>
      photo of a person in full face on a light background, with a neutral facial expression and a closed mouth.</w:t>
      </w:r>
    </w:p>
    <w:p>
      <w:pPr>
        <w:spacing w:after="0"/>
        <w:ind w:left="0"/>
        <w:jc w:val="both"/>
      </w:pPr>
      <w:r>
        <w:rPr>
          <w:rFonts w:ascii="Times New Roman"/>
          <w:b w:val="false"/>
          <w:i w:val="false"/>
          <w:color w:val="000000"/>
          <w:sz w:val="28"/>
        </w:rPr>
        <w:t>
      To register in your personal account, a legal entity enters (attaches) the following data (documents in scanned form):</w:t>
      </w:r>
    </w:p>
    <w:p>
      <w:pPr>
        <w:spacing w:after="0"/>
        <w:ind w:left="0"/>
        <w:jc w:val="both"/>
      </w:pPr>
      <w:r>
        <w:rPr>
          <w:rFonts w:ascii="Times New Roman"/>
          <w:b w:val="false"/>
          <w:i w:val="false"/>
          <w:color w:val="000000"/>
          <w:sz w:val="28"/>
        </w:rPr>
        <w:t>
      an order on the appointment of the head of the executive body of the legal entity or a power of attorney confirming the powers of the person authorized to sign the microloan agreement;</w:t>
      </w:r>
    </w:p>
    <w:p>
      <w:pPr>
        <w:spacing w:after="0"/>
        <w:ind w:left="0"/>
        <w:jc w:val="both"/>
      </w:pPr>
      <w:r>
        <w:rPr>
          <w:rFonts w:ascii="Times New Roman"/>
          <w:b w:val="false"/>
          <w:i w:val="false"/>
          <w:color w:val="000000"/>
          <w:sz w:val="28"/>
        </w:rPr>
        <w:t>
      surname, first name, patronymic (if any) specified in the identity document, with the exception of the birth certificate, of the person authorized to sign the microloan agreement;</w:t>
      </w:r>
    </w:p>
    <w:p>
      <w:pPr>
        <w:spacing w:after="0"/>
        <w:ind w:left="0"/>
        <w:jc w:val="both"/>
      </w:pPr>
      <w:r>
        <w:rPr>
          <w:rFonts w:ascii="Times New Roman"/>
          <w:b w:val="false"/>
          <w:i w:val="false"/>
          <w:color w:val="000000"/>
          <w:sz w:val="28"/>
        </w:rPr>
        <w:t>
      business identification number of the client - legal entity;</w:t>
      </w:r>
    </w:p>
    <w:p>
      <w:pPr>
        <w:spacing w:after="0"/>
        <w:ind w:left="0"/>
        <w:jc w:val="both"/>
      </w:pPr>
      <w:r>
        <w:rPr>
          <w:rFonts w:ascii="Times New Roman"/>
          <w:b w:val="false"/>
          <w:i w:val="false"/>
          <w:color w:val="000000"/>
          <w:sz w:val="28"/>
        </w:rPr>
        <w:t>
      individual identification number of the person authorized to sign the microloan agreement;</w:t>
      </w:r>
    </w:p>
    <w:p>
      <w:pPr>
        <w:spacing w:after="0"/>
        <w:ind w:left="0"/>
        <w:jc w:val="both"/>
      </w:pPr>
      <w:r>
        <w:rPr>
          <w:rFonts w:ascii="Times New Roman"/>
          <w:b w:val="false"/>
          <w:i w:val="false"/>
          <w:color w:val="000000"/>
          <w:sz w:val="28"/>
        </w:rPr>
        <w:t>
      the number and validity period of the identity document, with the exception of the birth certificate, of the person authorized to sign the microloan agreement;</w:t>
      </w:r>
    </w:p>
    <w:p>
      <w:pPr>
        <w:spacing w:after="0"/>
        <w:ind w:left="0"/>
        <w:jc w:val="both"/>
      </w:pPr>
      <w:r>
        <w:rPr>
          <w:rFonts w:ascii="Times New Roman"/>
          <w:b w:val="false"/>
          <w:i w:val="false"/>
          <w:color w:val="000000"/>
          <w:sz w:val="28"/>
        </w:rPr>
        <w:t>
      subscriber number of the cellular communication device of the legal entity client;</w:t>
      </w:r>
    </w:p>
    <w:p>
      <w:pPr>
        <w:spacing w:after="0"/>
        <w:ind w:left="0"/>
        <w:jc w:val="both"/>
      </w:pPr>
      <w:r>
        <w:rPr>
          <w:rFonts w:ascii="Times New Roman"/>
          <w:b w:val="false"/>
          <w:i w:val="false"/>
          <w:color w:val="000000"/>
          <w:sz w:val="28"/>
        </w:rPr>
        <w:t>
      photo of the client in full face on a light background, with a neutral facial expression on his face and a closed mouth, authorized to sign a microloan agreement.</w:t>
      </w:r>
    </w:p>
    <w:p>
      <w:pPr>
        <w:spacing w:after="0"/>
        <w:ind w:left="0"/>
        <w:jc w:val="both"/>
      </w:pPr>
      <w:r>
        <w:rPr>
          <w:rFonts w:ascii="Times New Roman"/>
          <w:b w:val="false"/>
          <w:i w:val="false"/>
          <w:color w:val="000000"/>
          <w:sz w:val="28"/>
        </w:rPr>
        <w:t>
      The organization carrying out microfinance activities, to confirm the registration of the client, reconciles the data provided by:</w:t>
      </w:r>
    </w:p>
    <w:p>
      <w:pPr>
        <w:spacing w:after="0"/>
        <w:ind w:left="0"/>
        <w:jc w:val="both"/>
      </w:pPr>
      <w:r>
        <w:rPr>
          <w:rFonts w:ascii="Times New Roman"/>
          <w:b w:val="false"/>
          <w:i w:val="false"/>
          <w:color w:val="000000"/>
          <w:sz w:val="28"/>
        </w:rPr>
        <w:t>
      client - individual: last name, first name, patronymic (if any), individual identification number and photograph of the client;</w:t>
      </w:r>
    </w:p>
    <w:p>
      <w:pPr>
        <w:spacing w:after="0"/>
        <w:ind w:left="0"/>
        <w:jc w:val="both"/>
      </w:pPr>
      <w:r>
        <w:rPr>
          <w:rFonts w:ascii="Times New Roman"/>
          <w:b w:val="false"/>
          <w:i w:val="false"/>
          <w:color w:val="000000"/>
          <w:sz w:val="28"/>
        </w:rPr>
        <w:t>
      client - legal entity: surname, name, patronymic (if any) and photo of the person specified in the identity document, with the exception of the birth certificate, an individual authorized to sign a microloan agreement.</w:t>
      </w:r>
    </w:p>
    <w:p>
      <w:pPr>
        <w:spacing w:after="0"/>
        <w:ind w:left="0"/>
        <w:jc w:val="both"/>
      </w:pPr>
      <w:r>
        <w:rPr>
          <w:rFonts w:ascii="Times New Roman"/>
          <w:b w:val="false"/>
          <w:i w:val="false"/>
          <w:color w:val="000000"/>
          <w:sz w:val="28"/>
        </w:rPr>
        <w:t>
      When registering a client in a personal account, biometric identification is used through the use of data center services or according to biometric data obtained through devices of an organization engaged in microfinance activities and an electronic digital signature of the client, presented by an accredited certification center of the Republic of Kazakhstan.</w:t>
      </w:r>
    </w:p>
    <w:p>
      <w:pPr>
        <w:spacing w:after="0"/>
        <w:ind w:left="0"/>
        <w:jc w:val="both"/>
      </w:pPr>
      <w:r>
        <w:rPr>
          <w:rFonts w:ascii="Times New Roman"/>
          <w:b w:val="false"/>
          <w:i w:val="false"/>
          <w:color w:val="000000"/>
          <w:sz w:val="28"/>
        </w:rPr>
        <w:t>
      After registration of the client in the personal account, the subsequent admission of the client to the personal account shall be carried out by generating and (or) entering passwords or using at least one of the authentication features (tokens, smart cards, one-time passwords).</w:t>
      </w:r>
    </w:p>
    <w:p>
      <w:pPr>
        <w:spacing w:after="0"/>
        <w:ind w:left="0"/>
        <w:jc w:val="both"/>
      </w:pPr>
      <w:r>
        <w:rPr>
          <w:rFonts w:ascii="Times New Roman"/>
          <w:b w:val="false"/>
          <w:i w:val="false"/>
          <w:color w:val="000000"/>
          <w:sz w:val="28"/>
        </w:rPr>
        <w:t>
      Introduction of amendments to the subscriber number of the client's cellular communication device or bank account details (except for the provision of microloans through terminals), shall be carried out in the client's personal account using biometric identification through the use of data center services or using the client's biometric data obtained during client registration through devices of an organization engaged in microfinance activities and the client's electronic digital signature presented by an accredited certification center of the Republic of Kazakhstan.</w:t>
      </w:r>
    </w:p>
    <w:p>
      <w:pPr>
        <w:spacing w:after="0"/>
        <w:ind w:left="0"/>
        <w:jc w:val="both"/>
      </w:pPr>
      <w:r>
        <w:rPr>
          <w:rFonts w:ascii="Times New Roman"/>
          <w:b w:val="false"/>
          <w:i w:val="false"/>
          <w:color w:val="000000"/>
          <w:sz w:val="28"/>
        </w:rPr>
        <w:t>
      In the personal account, data on the individual identification number or business identification number of the client shall not be subject to introduction of amendments.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personal account should provide the client with the opportunity to perform the following, but not limited to them, actions:</w:t>
      </w:r>
    </w:p>
    <w:p>
      <w:pPr>
        <w:spacing w:after="0"/>
        <w:ind w:left="0"/>
        <w:jc w:val="both"/>
      </w:pPr>
      <w:r>
        <w:rPr>
          <w:rFonts w:ascii="Times New Roman"/>
          <w:b w:val="false"/>
          <w:i w:val="false"/>
          <w:color w:val="000000"/>
          <w:sz w:val="28"/>
        </w:rPr>
        <w:t>
      1) submission by the client of an application for a microloan;</w:t>
      </w:r>
    </w:p>
    <w:p>
      <w:pPr>
        <w:spacing w:after="0"/>
        <w:ind w:left="0"/>
        <w:jc w:val="both"/>
      </w:pPr>
      <w:r>
        <w:rPr>
          <w:rFonts w:ascii="Times New Roman"/>
          <w:b w:val="false"/>
          <w:i w:val="false"/>
          <w:color w:val="000000"/>
          <w:sz w:val="28"/>
        </w:rPr>
        <w:t>
      2) viewing information about the organization carrying out microfinance activities (legal and (or) actual address, contact numbers, fax, e-mail address and other information), information about the first manager (last name, first name, patronymic (if any) of the organization carrying out microfinance activities;</w:t>
      </w:r>
    </w:p>
    <w:p>
      <w:pPr>
        <w:spacing w:after="0"/>
        <w:ind w:left="0"/>
        <w:jc w:val="both"/>
      </w:pPr>
      <w:r>
        <w:rPr>
          <w:rFonts w:ascii="Times New Roman"/>
          <w:b w:val="false"/>
          <w:i w:val="false"/>
          <w:color w:val="000000"/>
          <w:sz w:val="28"/>
        </w:rPr>
        <w:t>
      3) viewing the agreement (agreements) of the client on the provision of microloan (before and after the conclusion of the agreement);</w:t>
      </w:r>
    </w:p>
    <w:p>
      <w:pPr>
        <w:spacing w:after="0"/>
        <w:ind w:left="0"/>
        <w:jc w:val="both"/>
      </w:pPr>
      <w:r>
        <w:rPr>
          <w:rFonts w:ascii="Times New Roman"/>
          <w:b w:val="false"/>
          <w:i w:val="false"/>
          <w:color w:val="000000"/>
          <w:sz w:val="28"/>
        </w:rPr>
        <w:t>
      4) viewing information on the progress and results of consideration of the client's application for a microloan;</w:t>
      </w:r>
    </w:p>
    <w:p>
      <w:pPr>
        <w:spacing w:after="0"/>
        <w:ind w:left="0"/>
        <w:jc w:val="both"/>
      </w:pPr>
      <w:r>
        <w:rPr>
          <w:rFonts w:ascii="Times New Roman"/>
          <w:b w:val="false"/>
          <w:i w:val="false"/>
          <w:color w:val="000000"/>
          <w:sz w:val="28"/>
        </w:rPr>
        <w:t>
      5) viewing information on the amount of the client's current microloan debt (microloan), upcoming and actual payments of the client, including the amount of the principal debt, remuneration, forfeit (fines, penalties);</w:t>
      </w:r>
    </w:p>
    <w:p>
      <w:pPr>
        <w:spacing w:after="0"/>
        <w:ind w:left="0"/>
        <w:jc w:val="both"/>
      </w:pPr>
      <w:r>
        <w:rPr>
          <w:rFonts w:ascii="Times New Roman"/>
          <w:b w:val="false"/>
          <w:i w:val="false"/>
          <w:color w:val="000000"/>
          <w:sz w:val="28"/>
        </w:rPr>
        <w:t>
      6) viewing information on how the client repays the microloan;</w:t>
      </w:r>
    </w:p>
    <w:p>
      <w:pPr>
        <w:spacing w:after="0"/>
        <w:ind w:left="0"/>
        <w:jc w:val="both"/>
      </w:pPr>
      <w:r>
        <w:rPr>
          <w:rFonts w:ascii="Times New Roman"/>
          <w:b w:val="false"/>
          <w:i w:val="false"/>
          <w:color w:val="000000"/>
          <w:sz w:val="28"/>
        </w:rPr>
        <w:t>
      7) exchange of letters (messages) between the client and the organization carrying out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Prior to providing a microloan electronically, an organization engaged in microfinance activities:</w:t>
      </w:r>
    </w:p>
    <w:p>
      <w:pPr>
        <w:spacing w:after="0"/>
        <w:ind w:left="0"/>
        <w:jc w:val="both"/>
      </w:pPr>
      <w:r>
        <w:rPr>
          <w:rFonts w:ascii="Times New Roman"/>
          <w:b w:val="false"/>
          <w:i w:val="false"/>
          <w:color w:val="000000"/>
          <w:sz w:val="28"/>
        </w:rPr>
        <w:t>
      1) carry out proper verification of the client in accordance with the legislation of the Republic of Kazakhstan in the field of combating the legalization (laundering) of proceeds from crime and the financing of terrorism and internal documents;</w:t>
      </w:r>
    </w:p>
    <w:p>
      <w:pPr>
        <w:spacing w:after="0"/>
        <w:ind w:left="0"/>
        <w:jc w:val="both"/>
      </w:pPr>
      <w:r>
        <w:rPr>
          <w:rFonts w:ascii="Times New Roman"/>
          <w:b w:val="false"/>
          <w:i w:val="false"/>
          <w:color w:val="000000"/>
          <w:sz w:val="28"/>
        </w:rPr>
        <w:t>
      2) familiarizes the client with the Rules for providing microloans;</w:t>
      </w:r>
    </w:p>
    <w:p>
      <w:pPr>
        <w:spacing w:after="0"/>
        <w:ind w:left="0"/>
        <w:jc w:val="both"/>
      </w:pPr>
      <w:r>
        <w:rPr>
          <w:rFonts w:ascii="Times New Roman"/>
          <w:b w:val="false"/>
          <w:i w:val="false"/>
          <w:color w:val="000000"/>
          <w:sz w:val="28"/>
        </w:rPr>
        <w:t>
      3) provide the client with complete and reliable information about payments and transfer related to the receipt, maintenance and repayment (return) of a microloan;</w:t>
      </w:r>
    </w:p>
    <w:p>
      <w:pPr>
        <w:spacing w:after="0"/>
        <w:ind w:left="0"/>
        <w:jc w:val="both"/>
      </w:pPr>
      <w:r>
        <w:rPr>
          <w:rFonts w:ascii="Times New Roman"/>
          <w:b w:val="false"/>
          <w:i w:val="false"/>
          <w:color w:val="000000"/>
          <w:sz w:val="28"/>
        </w:rPr>
        <w:t>
      4) provide the client with draft repayment schedules calculated by various methods (differentiated payments method, annuity payments method or method calculated in accordance with the microloan rules) for familiarization and selection of the microloan repayment method;</w:t>
      </w:r>
    </w:p>
    <w:p>
      <w:pPr>
        <w:spacing w:after="0"/>
        <w:ind w:left="0"/>
        <w:jc w:val="both"/>
      </w:pPr>
      <w:r>
        <w:rPr>
          <w:rFonts w:ascii="Times New Roman"/>
          <w:b w:val="false"/>
          <w:i w:val="false"/>
          <w:color w:val="000000"/>
          <w:sz w:val="28"/>
        </w:rPr>
        <w:t>
      5) inform the client about his rights and obligations related to obtaining a microloan;</w:t>
      </w:r>
    </w:p>
    <w:p>
      <w:pPr>
        <w:spacing w:after="0"/>
        <w:ind w:left="0"/>
        <w:jc w:val="both"/>
      </w:pPr>
      <w:r>
        <w:rPr>
          <w:rFonts w:ascii="Times New Roman"/>
          <w:b w:val="false"/>
          <w:i w:val="false"/>
          <w:color w:val="000000"/>
          <w:sz w:val="28"/>
        </w:rPr>
        <w:t>
      6) request the client to provide a microloan (by issuing cash to the client through a terminal or cash desk, or transferring a microloan to the bank account (payment card) of the client or the bank account of a legal entity with which an agreement has been concluded with an organization engaged in microfinance activities, providing for payment for the purchased goods or work performed, services by the borrower);</w:t>
      </w:r>
    </w:p>
    <w:p>
      <w:pPr>
        <w:spacing w:after="0"/>
        <w:ind w:left="0"/>
        <w:jc w:val="both"/>
      </w:pPr>
      <w:r>
        <w:rPr>
          <w:rFonts w:ascii="Times New Roman"/>
          <w:b w:val="false"/>
          <w:i w:val="false"/>
          <w:color w:val="000000"/>
          <w:sz w:val="28"/>
        </w:rPr>
        <w:t>
      7) request bank account details (IBAN) and (or) details of the client's payment card, if a microloan is provided to the client's bank account (payment card);</w:t>
      </w:r>
    </w:p>
    <w:p>
      <w:pPr>
        <w:spacing w:after="0"/>
        <w:ind w:left="0"/>
        <w:jc w:val="both"/>
      </w:pPr>
      <w:r>
        <w:rPr>
          <w:rFonts w:ascii="Times New Roman"/>
          <w:b w:val="false"/>
          <w:i w:val="false"/>
          <w:color w:val="000000"/>
          <w:sz w:val="28"/>
        </w:rPr>
        <w:t>
      8) check for the presence in the credit report of information on the establishment by the client of a voluntary refusal to receive a microloan.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Board of the Agency of the Republic of Kazakhstan for Regulation and Development of the Financial Market dated 29.03.2024 № 17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Conclusion of an agreement on the provision of microloan, introduction of amendments and additions to the agreement on the provision of microloan electronically between the organization, carrying out microfinance activities, and the client shall be carried out using biometric identification through the use of data center services or using the client's biometric data, obtained when registering a client through devices of an organization carrying out microfinance activities and an electronic digital signature of the client represented by an accredited certifying national certifying center of the Republic of Kazakhstan.</w:t>
      </w:r>
    </w:p>
    <w:p>
      <w:pPr>
        <w:spacing w:after="0"/>
        <w:ind w:left="0"/>
        <w:jc w:val="both"/>
      </w:pPr>
      <w:r>
        <w:rPr>
          <w:rFonts w:ascii="Times New Roman"/>
          <w:b w:val="false"/>
          <w:i w:val="false"/>
          <w:color w:val="000000"/>
          <w:sz w:val="28"/>
        </w:rPr>
        <w:t>
      Microloan shall be provided electronically by transferring money from the bank account of a microfinance organization to a bank account (payment card) of the customer, and by dispensing cash to the customer through a terminal or cash desk; (or) transfer of a microloan at the request of the borrower to the bank account of a legal entity with which an organization engaged in microfinance activities has an agreement providing for payment for the purchased goods or work performed, services by the borrower.</w:t>
      </w:r>
    </w:p>
    <w:p>
      <w:pPr>
        <w:spacing w:after="0"/>
        <w:ind w:left="0"/>
        <w:jc w:val="both"/>
      </w:pPr>
      <w:r>
        <w:rPr>
          <w:rFonts w:ascii="Times New Roman"/>
          <w:b w:val="false"/>
          <w:i w:val="false"/>
          <w:color w:val="000000"/>
          <w:sz w:val="28"/>
        </w:rPr>
        <w:t>
      If it is impossible to identify the ownership of a bank account or payment card to the client, the transfer of money shall not be carried out.</w:t>
      </w:r>
    </w:p>
    <w:p>
      <w:pPr>
        <w:spacing w:after="0"/>
        <w:ind w:left="0"/>
        <w:jc w:val="both"/>
      </w:pPr>
      <w:r>
        <w:rPr>
          <w:rFonts w:ascii="Times New Roman"/>
          <w:b w:val="false"/>
          <w:i w:val="false"/>
          <w:color w:val="000000"/>
          <w:sz w:val="28"/>
        </w:rPr>
        <w:t>
      The transfer of a microloan at the request of the borrower to the bank account of a legal entity with which the organization engaged in microfinance activities has an agreement providing for payment for the purchased goods or work performed, services by the borrower, shall be carried out using biometric identification through the use of data center services or using client biometric data obtained during client registration through devices of the organization engaged in microfinance activities.</w:t>
      </w:r>
    </w:p>
    <w:p>
      <w:pPr>
        <w:spacing w:after="0"/>
        <w:ind w:left="0"/>
        <w:jc w:val="both"/>
      </w:pPr>
      <w:r>
        <w:rPr>
          <w:rFonts w:ascii="Times New Roman"/>
          <w:b w:val="false"/>
          <w:i w:val="false"/>
          <w:color w:val="000000"/>
          <w:sz w:val="28"/>
        </w:rPr>
        <w:t>
      The provision of a microloan to the borrower through the cashier shall be carried out by visual identification of the client receiving cash with an identity document (except for a birth certificate) or data confirming (identifying) the identity of the client obtained through the digital document service, as well as providing a power of attorney confirming the powers of the individual authorized to receive money, in case of providing a microloan to the client -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organization carrying out microfinance activities shall refuse to provide the client with a microloan on the grounds provided for by the legislation of the Republic of Kazakhstan in the field of combating the legalization (laundering) of proceeds from crime and the financing of terrorism, as well as when the client establishes a voluntary refusal to receive a microloan.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Resolution of the Board of the Agency of the Republic of Kazakhstan for Regulation and Development of the Financial Market dated 29.03.2024 № 17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provision of microcredits electronically shall be carried out in accordance with the internal documents of the organization carrying out microfinance activities, which provide for the identification of distortions and (or) changes in the content of electronic documents on the basis of which the client was granted microcredit electronically, as well as protection from unauthorized access to information constituting the secrecy of providing microcredit, and the integrity of this information, including the protection of identification and authentication data provided by the client from repeated unauthorized use when receiving microcredit.</w:t>
      </w:r>
    </w:p>
    <w:p>
      <w:pPr>
        <w:spacing w:after="0"/>
        <w:ind w:left="0"/>
        <w:jc w:val="both"/>
      </w:pPr>
      <w:r>
        <w:rPr>
          <w:rFonts w:ascii="Times New Roman"/>
          <w:b w:val="false"/>
          <w:i w:val="false"/>
          <w:color w:val="000000"/>
          <w:sz w:val="28"/>
        </w:rPr>
        <w:t>
      12. At the request of the client, the organization carrying out microfinance activities shall provide him/her with confirmation of the sending and (or) receipt of electronic documents confirming the provision (receipt) of microcredit electronically, in the manner and within the time frame provided for in the microcredit agreement.</w:t>
      </w:r>
    </w:p>
    <w:p>
      <w:pPr>
        <w:spacing w:after="0"/>
        <w:ind w:left="0"/>
        <w:jc w:val="both"/>
      </w:pPr>
      <w:r>
        <w:rPr>
          <w:rFonts w:ascii="Times New Roman"/>
          <w:b w:val="false"/>
          <w:i w:val="false"/>
          <w:color w:val="000000"/>
          <w:sz w:val="28"/>
        </w:rPr>
        <w:t>
      13. In case of detection of unauthorized access to information that constitutes the secret of providing microcredit, its unauthorized modification, unauthorized actions by third parties or other illegal (fraudulent) actions with microcredits, the organization carrying out microfinance activities shall take measures within two working days to eliminate the causes and consequences of such actions, and shall also inform the client and the authorized body about this within one working day.</w:t>
      </w:r>
    </w:p>
    <w:p>
      <w:pPr>
        <w:spacing w:after="0"/>
        <w:ind w:left="0"/>
        <w:jc w:val="both"/>
      </w:pPr>
      <w:r>
        <w:rPr>
          <w:rFonts w:ascii="Times New Roman"/>
          <w:b w:val="false"/>
          <w:i w:val="false"/>
          <w:color w:val="000000"/>
          <w:sz w:val="28"/>
        </w:rPr>
        <w:t>
      If a person conducting a pre-trial investigation in accordance with Article 200 of the Criminal Procedure Code of the Republic of Kazakhstan (hereinafter referred to as the Code of Criminal Procedure of the Republic of Kazakhstan) submits to an organization engaged in microfinance activities a proposal to take measures to eliminate the circumstances that contributed to the commission of a criminal offence against victims, or resolution on recognizing the borrower of an organization engaged in microfinance activities as a victim in accordance with Article 71 of the Code of Criminal Procedure of the Republic of Kazakhstan, an organization engaged in microfinance activities, no later than 3 (three) working days from the date of receipt of the submission or resolution shall:</w:t>
      </w:r>
    </w:p>
    <w:p>
      <w:pPr>
        <w:spacing w:after="0"/>
        <w:ind w:left="0"/>
        <w:jc w:val="both"/>
      </w:pPr>
      <w:r>
        <w:rPr>
          <w:rFonts w:ascii="Times New Roman"/>
          <w:b w:val="false"/>
          <w:i w:val="false"/>
          <w:color w:val="000000"/>
          <w:sz w:val="28"/>
        </w:rPr>
        <w:t>
      suspend the accrual of interest on such microcredit;</w:t>
      </w:r>
    </w:p>
    <w:p>
      <w:pPr>
        <w:spacing w:after="0"/>
        <w:ind w:left="0"/>
        <w:jc w:val="both"/>
      </w:pPr>
      <w:r>
        <w:rPr>
          <w:rFonts w:ascii="Times New Roman"/>
          <w:b w:val="false"/>
          <w:i w:val="false"/>
          <w:color w:val="000000"/>
          <w:sz w:val="28"/>
        </w:rPr>
        <w:t>
      suspend debt collection and claims work on microcredit;</w:t>
      </w:r>
    </w:p>
    <w:p>
      <w:pPr>
        <w:spacing w:after="0"/>
        <w:ind w:left="0"/>
        <w:jc w:val="both"/>
      </w:pPr>
      <w:r>
        <w:rPr>
          <w:rFonts w:ascii="Times New Roman"/>
          <w:b w:val="false"/>
          <w:i w:val="false"/>
          <w:color w:val="000000"/>
          <w:sz w:val="28"/>
        </w:rPr>
        <w:t>
      suspend sending information to credit bureaus about the client's debt on microcredit;</w:t>
      </w:r>
    </w:p>
    <w:p>
      <w:pPr>
        <w:spacing w:after="0"/>
        <w:ind w:left="0"/>
        <w:jc w:val="both"/>
      </w:pPr>
      <w:r>
        <w:rPr>
          <w:rFonts w:ascii="Times New Roman"/>
          <w:b w:val="false"/>
          <w:i w:val="false"/>
          <w:color w:val="000000"/>
          <w:sz w:val="28"/>
        </w:rPr>
        <w:t>
      send a written notification to the client about the suspension of the accrual of remuneration on the microcredit, debt collection and carrying out claim work on the client.</w:t>
      </w:r>
    </w:p>
    <w:p>
      <w:pPr>
        <w:spacing w:after="0"/>
        <w:ind w:left="0"/>
        <w:jc w:val="both"/>
      </w:pPr>
      <w:r>
        <w:rPr>
          <w:rFonts w:ascii="Times New Roman"/>
          <w:b w:val="false"/>
          <w:i w:val="false"/>
          <w:color w:val="000000"/>
          <w:sz w:val="28"/>
        </w:rPr>
        <w:t>
      In the event of cancellation by an authorized person or body of submission or resolution based on which the accrual of remuneration on microcredit, debt collection and the conduct of claims work shall be suspended, the organization engaged in microfinance activities shall have the right to additionally accrue remuneration for the use of microcredit for the period of suspension of the accrual of remuneration, and resume debt collection and claim work for the client.</w:t>
      </w:r>
    </w:p>
    <w:p>
      <w:pPr>
        <w:spacing w:after="0"/>
        <w:ind w:left="0"/>
        <w:jc w:val="both"/>
      </w:pPr>
      <w:r>
        <w:rPr>
          <w:rFonts w:ascii="Times New Roman"/>
          <w:b w:val="false"/>
          <w:i w:val="false"/>
          <w:color w:val="000000"/>
          <w:sz w:val="28"/>
        </w:rPr>
        <w:t>
      Based on a court verdict that has entered into legal force, which established the fact that the client did not receive microcredit, an organization engaged in microfinance activities, within 15 (fifteen) working days shall:</w:t>
      </w:r>
    </w:p>
    <w:p>
      <w:pPr>
        <w:spacing w:after="0"/>
        <w:ind w:left="0"/>
        <w:jc w:val="both"/>
      </w:pPr>
      <w:r>
        <w:rPr>
          <w:rFonts w:ascii="Times New Roman"/>
          <w:b w:val="false"/>
          <w:i w:val="false"/>
          <w:color w:val="000000"/>
          <w:sz w:val="28"/>
        </w:rPr>
        <w:t>
      make a decision to write off the client's debt under this microcredit;</w:t>
      </w:r>
    </w:p>
    <w:p>
      <w:pPr>
        <w:spacing w:after="0"/>
        <w:ind w:left="0"/>
        <w:jc w:val="both"/>
      </w:pPr>
      <w:r>
        <w:rPr>
          <w:rFonts w:ascii="Times New Roman"/>
          <w:b w:val="false"/>
          <w:i w:val="false"/>
          <w:color w:val="000000"/>
          <w:sz w:val="28"/>
        </w:rPr>
        <w:t>
      make adjustments to the client’s credit history in credit bureaus by sending information about the absence of debt on this microcredit and the number of overdue days on it;</w:t>
      </w:r>
    </w:p>
    <w:p>
      <w:pPr>
        <w:spacing w:after="0"/>
        <w:ind w:left="0"/>
        <w:jc w:val="both"/>
      </w:pPr>
      <w:r>
        <w:rPr>
          <w:rFonts w:ascii="Times New Roman"/>
          <w:b w:val="false"/>
          <w:i w:val="false"/>
          <w:color w:val="000000"/>
          <w:sz w:val="28"/>
        </w:rPr>
        <w:t>
      return to the client amounts of debt under this microcredit, previously collected by the organization carrying out microfinance activities, or repaid by the client independently.</w:t>
      </w:r>
    </w:p>
    <w:p>
      <w:pPr>
        <w:spacing w:after="0"/>
        <w:ind w:left="0"/>
        <w:jc w:val="both"/>
      </w:pPr>
      <w:r>
        <w:rPr>
          <w:rFonts w:ascii="Times New Roman"/>
          <w:b w:val="false"/>
          <w:i w:val="false"/>
          <w:color w:val="000000"/>
          <w:sz w:val="28"/>
        </w:rPr>
        <w:t>
      Write-off of a client's debt on microcredit, in accordance with this paragraph of the Rules, shall not deprive an organization engaged in microfinance activities of the right to demand from the client compensation of debt on microcredit issued to him, issued fraudulently if the client himself is at fault, established by the court.</w:t>
      </w:r>
    </w:p>
    <w:p>
      <w:pPr>
        <w:spacing w:after="0"/>
        <w:ind w:left="0"/>
        <w:jc w:val="left"/>
      </w:pPr>
      <w:r>
        <w:rPr>
          <w:rFonts w:ascii="Times New Roman"/>
          <w:b/>
          <w:i w:val="false"/>
          <w:color w:val="000000"/>
        </w:rPr>
        <w:t xml:space="preserve"> Chapter 3. Requirements for an automated information system</w:t>
      </w:r>
    </w:p>
    <w:p>
      <w:pPr>
        <w:spacing w:after="0"/>
        <w:ind w:left="0"/>
        <w:jc w:val="both"/>
      </w:pPr>
      <w:r>
        <w:rPr>
          <w:rFonts w:ascii="Times New Roman"/>
          <w:b w:val="false"/>
          <w:i w:val="false"/>
          <w:color w:val="000000"/>
          <w:sz w:val="28"/>
        </w:rPr>
        <w:t>
      14. The automated information system shall include:</w:t>
      </w:r>
    </w:p>
    <w:p>
      <w:pPr>
        <w:spacing w:after="0"/>
        <w:ind w:left="0"/>
        <w:jc w:val="both"/>
      </w:pPr>
      <w:r>
        <w:rPr>
          <w:rFonts w:ascii="Times New Roman"/>
          <w:b w:val="false"/>
          <w:i w:val="false"/>
          <w:color w:val="000000"/>
          <w:sz w:val="28"/>
        </w:rPr>
        <w:t>
      1) web application server software (hereinafter referred to as the Web application);</w:t>
      </w:r>
    </w:p>
    <w:p>
      <w:pPr>
        <w:spacing w:after="0"/>
        <w:ind w:left="0"/>
        <w:jc w:val="both"/>
      </w:pPr>
      <w:r>
        <w:rPr>
          <w:rFonts w:ascii="Times New Roman"/>
          <w:b w:val="false"/>
          <w:i w:val="false"/>
          <w:color w:val="000000"/>
          <w:sz w:val="28"/>
        </w:rPr>
        <w:t>
      2) software for mobile devices (hereinafter referred to as the Mobile application);</w:t>
      </w:r>
    </w:p>
    <w:p>
      <w:pPr>
        <w:spacing w:after="0"/>
        <w:ind w:left="0"/>
        <w:jc w:val="both"/>
      </w:pPr>
      <w:r>
        <w:rPr>
          <w:rFonts w:ascii="Times New Roman"/>
          <w:b w:val="false"/>
          <w:i w:val="false"/>
          <w:color w:val="000000"/>
          <w:sz w:val="28"/>
        </w:rPr>
        <w:t>
      3) software for software interface servers (hereinafter referred to as Server software).</w:t>
      </w:r>
    </w:p>
    <w:p>
      <w:pPr>
        <w:spacing w:after="0"/>
        <w:ind w:left="0"/>
        <w:jc w:val="both"/>
      </w:pPr>
      <w:r>
        <w:rPr>
          <w:rFonts w:ascii="Times New Roman"/>
          <w:b w:val="false"/>
          <w:i w:val="false"/>
          <w:color w:val="000000"/>
          <w:sz w:val="28"/>
        </w:rPr>
        <w:t>
      15. Development and (or) modification of an automated information system shall be carried out by an organization carrying out microfinance activities in accordance with an internal document regulating the procedure for development and (or) modification, stages of development and their participants.</w:t>
      </w:r>
    </w:p>
    <w:p>
      <w:pPr>
        <w:spacing w:after="0"/>
        <w:ind w:left="0"/>
        <w:jc w:val="both"/>
      </w:pPr>
      <w:r>
        <w:rPr>
          <w:rFonts w:ascii="Times New Roman"/>
          <w:b w:val="false"/>
          <w:i w:val="false"/>
          <w:color w:val="000000"/>
          <w:sz w:val="28"/>
        </w:rPr>
        <w:t>
      16. If the development and (or) modification of an automated information system is transferred to a third-party organization and (or) a third party, the organization carrying out microfinance activities shall ensure that the third-party organization and (or) third party fulfils the requirements of this chapter and internal documents, and shall be responsible for security status of the automated information system.</w:t>
      </w:r>
    </w:p>
    <w:p>
      <w:pPr>
        <w:spacing w:after="0"/>
        <w:ind w:left="0"/>
        <w:jc w:val="both"/>
      </w:pPr>
      <w:r>
        <w:rPr>
          <w:rFonts w:ascii="Times New Roman"/>
          <w:b w:val="false"/>
          <w:i w:val="false"/>
          <w:color w:val="000000"/>
          <w:sz w:val="28"/>
        </w:rPr>
        <w:t>
      17. Storage of the source codes of the automated information system developed in an organization carrying out microfinance activities shall be carried out in specialized code repository management systems located within the security perimeter of the organization carrying out microfinance activities, with backup provided.</w:t>
      </w:r>
    </w:p>
    <w:p>
      <w:pPr>
        <w:spacing w:after="0"/>
        <w:ind w:left="0"/>
        <w:jc w:val="both"/>
      </w:pPr>
      <w:r>
        <w:rPr>
          <w:rFonts w:ascii="Times New Roman"/>
          <w:b w:val="false"/>
          <w:i w:val="false"/>
          <w:color w:val="000000"/>
          <w:sz w:val="28"/>
        </w:rPr>
        <w:t>
      18. Regardless of the approach adopted in an organization carrying out microfinance activities to the development and (or) modification of an automated information system, a mandatory stage is security testing, during which at least the following activities shall be carried out:</w:t>
      </w:r>
    </w:p>
    <w:p>
      <w:pPr>
        <w:spacing w:after="0"/>
        <w:ind w:left="0"/>
        <w:jc w:val="both"/>
      </w:pPr>
      <w:r>
        <w:rPr>
          <w:rFonts w:ascii="Times New Roman"/>
          <w:b w:val="false"/>
          <w:i w:val="false"/>
          <w:color w:val="000000"/>
          <w:sz w:val="28"/>
        </w:rPr>
        <w:t>
      1) static analysis of source code;</w:t>
      </w:r>
    </w:p>
    <w:p>
      <w:pPr>
        <w:spacing w:after="0"/>
        <w:ind w:left="0"/>
        <w:jc w:val="both"/>
      </w:pPr>
      <w:r>
        <w:rPr>
          <w:rFonts w:ascii="Times New Roman"/>
          <w:b w:val="false"/>
          <w:i w:val="false"/>
          <w:color w:val="000000"/>
          <w:sz w:val="28"/>
        </w:rPr>
        <w:t>
      2) analysis of components and (or) third-party libraries.</w:t>
      </w:r>
    </w:p>
    <w:p>
      <w:pPr>
        <w:spacing w:after="0"/>
        <w:ind w:left="0"/>
        <w:jc w:val="both"/>
      </w:pPr>
      <w:r>
        <w:rPr>
          <w:rFonts w:ascii="Times New Roman"/>
          <w:b w:val="false"/>
          <w:i w:val="false"/>
          <w:color w:val="000000"/>
          <w:sz w:val="28"/>
        </w:rPr>
        <w:t>
      19. Static analysis of the source code of an automated information system shall be carried out using a static source code analysis scanner, which supports the analysis of all programming languages used in the software being tested, the functions of which include identifying the following vulnerabilities, but not limited to:</w:t>
      </w:r>
    </w:p>
    <w:p>
      <w:pPr>
        <w:spacing w:after="0"/>
        <w:ind w:left="0"/>
        <w:jc w:val="both"/>
      </w:pPr>
      <w:r>
        <w:rPr>
          <w:rFonts w:ascii="Times New Roman"/>
          <w:b w:val="false"/>
          <w:i w:val="false"/>
          <w:color w:val="000000"/>
          <w:sz w:val="28"/>
        </w:rPr>
        <w:t>
      1) the presence of mechanisms that allow the injection of malicious code;</w:t>
      </w:r>
    </w:p>
    <w:p>
      <w:pPr>
        <w:spacing w:after="0"/>
        <w:ind w:left="0"/>
        <w:jc w:val="both"/>
      </w:pPr>
      <w:r>
        <w:rPr>
          <w:rFonts w:ascii="Times New Roman"/>
          <w:b w:val="false"/>
          <w:i w:val="false"/>
          <w:color w:val="000000"/>
          <w:sz w:val="28"/>
        </w:rPr>
        <w:t>
      2) use of vulnerable operators and functions of programming languages;</w:t>
      </w:r>
    </w:p>
    <w:p>
      <w:pPr>
        <w:spacing w:after="0"/>
        <w:ind w:left="0"/>
        <w:jc w:val="both"/>
      </w:pPr>
      <w:r>
        <w:rPr>
          <w:rFonts w:ascii="Times New Roman"/>
          <w:b w:val="false"/>
          <w:i w:val="false"/>
          <w:color w:val="000000"/>
          <w:sz w:val="28"/>
        </w:rPr>
        <w:t>
      3) use of weak and vulnerable cryptographic algorithms;</w:t>
      </w:r>
    </w:p>
    <w:p>
      <w:pPr>
        <w:spacing w:after="0"/>
        <w:ind w:left="0"/>
        <w:jc w:val="both"/>
      </w:pPr>
      <w:r>
        <w:rPr>
          <w:rFonts w:ascii="Times New Roman"/>
          <w:b w:val="false"/>
          <w:i w:val="false"/>
          <w:color w:val="000000"/>
          <w:sz w:val="28"/>
        </w:rPr>
        <w:t>
      4) use of code that, under certain conditions, causes a denial of service or a significant slowdown in the operation of the application;</w:t>
      </w:r>
    </w:p>
    <w:p>
      <w:pPr>
        <w:spacing w:after="0"/>
        <w:ind w:left="0"/>
        <w:jc w:val="both"/>
      </w:pPr>
      <w:r>
        <w:rPr>
          <w:rFonts w:ascii="Times New Roman"/>
          <w:b w:val="false"/>
          <w:i w:val="false"/>
          <w:color w:val="000000"/>
          <w:sz w:val="28"/>
        </w:rPr>
        <w:t>
      5) the presence of mechanisms to bypass application security systems;</w:t>
      </w:r>
    </w:p>
    <w:p>
      <w:pPr>
        <w:spacing w:after="0"/>
        <w:ind w:left="0"/>
        <w:jc w:val="both"/>
      </w:pPr>
      <w:r>
        <w:rPr>
          <w:rFonts w:ascii="Times New Roman"/>
          <w:b w:val="false"/>
          <w:i w:val="false"/>
          <w:color w:val="000000"/>
          <w:sz w:val="28"/>
        </w:rPr>
        <w:t>
      6) use of secrets in clear text in the code;</w:t>
      </w:r>
    </w:p>
    <w:p>
      <w:pPr>
        <w:spacing w:after="0"/>
        <w:ind w:left="0"/>
        <w:jc w:val="both"/>
      </w:pPr>
      <w:r>
        <w:rPr>
          <w:rFonts w:ascii="Times New Roman"/>
          <w:b w:val="false"/>
          <w:i w:val="false"/>
          <w:color w:val="000000"/>
          <w:sz w:val="28"/>
        </w:rPr>
        <w:t>
      7) violation of application security patterns and practices.</w:t>
      </w:r>
    </w:p>
    <w:p>
      <w:pPr>
        <w:spacing w:after="0"/>
        <w:ind w:left="0"/>
        <w:jc w:val="both"/>
      </w:pPr>
      <w:r>
        <w:rPr>
          <w:rFonts w:ascii="Times New Roman"/>
          <w:b w:val="false"/>
          <w:i w:val="false"/>
          <w:color w:val="000000"/>
          <w:sz w:val="28"/>
        </w:rPr>
        <w:t>
      20. Analysis of components and (or) third-party libraries of an automated information system shall be carried out to identify known vulnerabilities inherent in the version of the component and (or) third-party library used, as well as to track dependencies between components and (or) third-party libraries and their versions.</w:t>
      </w:r>
    </w:p>
    <w:p>
      <w:pPr>
        <w:spacing w:after="0"/>
        <w:ind w:left="0"/>
        <w:jc w:val="both"/>
      </w:pPr>
      <w:r>
        <w:rPr>
          <w:rFonts w:ascii="Times New Roman"/>
          <w:b w:val="false"/>
          <w:i w:val="false"/>
          <w:color w:val="000000"/>
          <w:sz w:val="28"/>
        </w:rPr>
        <w:t>
      21. An organization carrying out microfinance activities shall ensure the implementation of corrective measures to eliminate identified vulnerabilities in the manner specified by the internal document, while critical vulnerabilities are eliminated before the automated information system and (or) its new versions are put into operation.</w:t>
      </w:r>
    </w:p>
    <w:p>
      <w:pPr>
        <w:spacing w:after="0"/>
        <w:ind w:left="0"/>
        <w:jc w:val="both"/>
      </w:pPr>
      <w:r>
        <w:rPr>
          <w:rFonts w:ascii="Times New Roman"/>
          <w:b w:val="false"/>
          <w:i w:val="false"/>
          <w:color w:val="000000"/>
          <w:sz w:val="28"/>
        </w:rPr>
        <w:t>
      22. An organization carrying out microfinance activities shall provide storage and online access to all versions of the source codes of the automated information system and security testing results that have been put into operation over the past 3 (three) years.</w:t>
      </w:r>
    </w:p>
    <w:p>
      <w:pPr>
        <w:spacing w:after="0"/>
        <w:ind w:left="0"/>
        <w:jc w:val="both"/>
      </w:pPr>
      <w:r>
        <w:rPr>
          <w:rFonts w:ascii="Times New Roman"/>
          <w:b w:val="false"/>
          <w:i w:val="false"/>
          <w:color w:val="000000"/>
          <w:sz w:val="28"/>
        </w:rPr>
        <w:t>
      23. Data exchange between the client and server sides of the automated information system shall be encrypted using a version of the Transport encryption protocolLayerSecurity (Transport Layer Security) not lower than 1.2.</w:t>
      </w:r>
    </w:p>
    <w:p>
      <w:pPr>
        <w:spacing w:after="0"/>
        <w:ind w:left="0"/>
        <w:jc w:val="both"/>
      </w:pPr>
      <w:r>
        <w:rPr>
          <w:rFonts w:ascii="Times New Roman"/>
          <w:b w:val="false"/>
          <w:i w:val="false"/>
          <w:color w:val="000000"/>
          <w:sz w:val="28"/>
        </w:rPr>
        <w:t>
      24. The web application shall provide:</w:t>
      </w:r>
    </w:p>
    <w:p>
      <w:pPr>
        <w:spacing w:after="0"/>
        <w:ind w:left="0"/>
        <w:jc w:val="both"/>
      </w:pPr>
      <w:r>
        <w:rPr>
          <w:rFonts w:ascii="Times New Roman"/>
          <w:b w:val="false"/>
          <w:i w:val="false"/>
          <w:color w:val="000000"/>
          <w:sz w:val="28"/>
        </w:rPr>
        <w:t>
      1) unambiguous identification of the ownership of the web application of an organization engaged in microfinance activities (domain name, logos, corporate colours);</w:t>
      </w:r>
    </w:p>
    <w:p>
      <w:pPr>
        <w:spacing w:after="0"/>
        <w:ind w:left="0"/>
        <w:jc w:val="both"/>
      </w:pPr>
      <w:r>
        <w:rPr>
          <w:rFonts w:ascii="Times New Roman"/>
          <w:b w:val="false"/>
          <w:i w:val="false"/>
          <w:color w:val="000000"/>
          <w:sz w:val="28"/>
        </w:rPr>
        <w:t>
      2) prohibition on storing authorization data in the browser’s memory;</w:t>
      </w:r>
    </w:p>
    <w:p>
      <w:pPr>
        <w:spacing w:after="0"/>
        <w:ind w:left="0"/>
        <w:jc w:val="both"/>
      </w:pPr>
      <w:r>
        <w:rPr>
          <w:rFonts w:ascii="Times New Roman"/>
          <w:b w:val="false"/>
          <w:i w:val="false"/>
          <w:color w:val="000000"/>
          <w:sz w:val="28"/>
        </w:rPr>
        <w:t>
      3) masking of entered secrets;</w:t>
      </w:r>
    </w:p>
    <w:p>
      <w:pPr>
        <w:spacing w:after="0"/>
        <w:ind w:left="0"/>
        <w:jc w:val="both"/>
      </w:pPr>
      <w:r>
        <w:rPr>
          <w:rFonts w:ascii="Times New Roman"/>
          <w:b w:val="false"/>
          <w:i w:val="false"/>
          <w:color w:val="000000"/>
          <w:sz w:val="28"/>
        </w:rPr>
        <w:t>
      cyber hygiene measures that are recommended to be followed when using the web application;</w:t>
      </w:r>
    </w:p>
    <w:p>
      <w:pPr>
        <w:spacing w:after="0"/>
        <w:ind w:left="0"/>
        <w:jc w:val="both"/>
      </w:pPr>
      <w:r>
        <w:rPr>
          <w:rFonts w:ascii="Times New Roman"/>
          <w:b w:val="false"/>
          <w:i w:val="false"/>
          <w:color w:val="000000"/>
          <w:sz w:val="28"/>
        </w:rPr>
        <w:t>
      5) handling errors and exceptions securely, preventing sensitive data from being displayed in the client interface, and providing minimally sufficient information about the error.</w:t>
      </w:r>
    </w:p>
    <w:p>
      <w:pPr>
        <w:spacing w:after="0"/>
        <w:ind w:left="0"/>
        <w:jc w:val="both"/>
      </w:pPr>
      <w:r>
        <w:rPr>
          <w:rFonts w:ascii="Times New Roman"/>
          <w:b w:val="false"/>
          <w:i w:val="false"/>
          <w:color w:val="000000"/>
          <w:sz w:val="28"/>
        </w:rPr>
        <w:t>
      25. The mobile application shall provide:</w:t>
      </w:r>
    </w:p>
    <w:p>
      <w:pPr>
        <w:spacing w:after="0"/>
        <w:ind w:left="0"/>
        <w:jc w:val="both"/>
      </w:pPr>
      <w:r>
        <w:rPr>
          <w:rFonts w:ascii="Times New Roman"/>
          <w:b w:val="false"/>
          <w:i w:val="false"/>
          <w:color w:val="000000"/>
          <w:sz w:val="28"/>
        </w:rPr>
        <w:t>
      1) unambiguous identification of the ownership of a mobile application of an organization engaged in microfinance activities (data in the official application store, logos, corporate colours);</w:t>
      </w:r>
    </w:p>
    <w:p>
      <w:pPr>
        <w:spacing w:after="0"/>
        <w:ind w:left="0"/>
        <w:jc w:val="both"/>
      </w:pPr>
      <w:r>
        <w:rPr>
          <w:rFonts w:ascii="Times New Roman"/>
          <w:b w:val="false"/>
          <w:i w:val="false"/>
          <w:color w:val="000000"/>
          <w:sz w:val="28"/>
        </w:rPr>
        <w:t>
      2) blocking the functionality for providing microcredits electronically to an organization engaged in microfinance activities, in case of detection of signs of integrity violation and (or) bypassing the security mechanisms of the operating system, detection of remote control processes;</w:t>
      </w:r>
    </w:p>
    <w:p>
      <w:pPr>
        <w:spacing w:after="0"/>
        <w:ind w:left="0"/>
        <w:jc w:val="both"/>
      </w:pPr>
      <w:r>
        <w:rPr>
          <w:rFonts w:ascii="Times New Roman"/>
          <w:b w:val="false"/>
          <w:i w:val="false"/>
          <w:color w:val="000000"/>
          <w:sz w:val="28"/>
        </w:rPr>
        <w:t>
      3) notifying the client about the availability of updates to the mobile application;</w:t>
      </w:r>
    </w:p>
    <w:p>
      <w:pPr>
        <w:spacing w:after="0"/>
        <w:ind w:left="0"/>
        <w:jc w:val="both"/>
      </w:pPr>
      <w:r>
        <w:rPr>
          <w:rFonts w:ascii="Times New Roman"/>
          <w:b w:val="false"/>
          <w:i w:val="false"/>
          <w:color w:val="000000"/>
          <w:sz w:val="28"/>
        </w:rPr>
        <w:t>
      4) the ability to force installation of mobile application updates or block the functionality of a mobile application before installing them in cases where it is necessary to eliminate critical vulnerabilities;</w:t>
      </w:r>
    </w:p>
    <w:p>
      <w:pPr>
        <w:spacing w:after="0"/>
        <w:ind w:left="0"/>
        <w:jc w:val="both"/>
      </w:pPr>
      <w:r>
        <w:rPr>
          <w:rFonts w:ascii="Times New Roman"/>
          <w:b w:val="false"/>
          <w:i w:val="false"/>
          <w:color w:val="000000"/>
          <w:sz w:val="28"/>
        </w:rPr>
        <w:t>
      5) storing confidential data in a secure container of a mobile application or storage of system credentials;</w:t>
      </w:r>
    </w:p>
    <w:p>
      <w:pPr>
        <w:spacing w:after="0"/>
        <w:ind w:left="0"/>
        <w:jc w:val="both"/>
      </w:pPr>
      <w:r>
        <w:rPr>
          <w:rFonts w:ascii="Times New Roman"/>
          <w:b w:val="false"/>
          <w:i w:val="false"/>
          <w:color w:val="000000"/>
          <w:sz w:val="28"/>
        </w:rPr>
        <w:t>
      6) exclusion of caching of confidential data;</w:t>
      </w:r>
    </w:p>
    <w:p>
      <w:pPr>
        <w:spacing w:after="0"/>
        <w:ind w:left="0"/>
        <w:jc w:val="both"/>
      </w:pPr>
      <w:r>
        <w:rPr>
          <w:rFonts w:ascii="Times New Roman"/>
          <w:b w:val="false"/>
          <w:i w:val="false"/>
          <w:color w:val="000000"/>
          <w:sz w:val="28"/>
        </w:rPr>
        <w:t>
      7) exclusion of confidential data from backup copies of the mobile application;</w:t>
      </w:r>
    </w:p>
    <w:p>
      <w:pPr>
        <w:spacing w:after="0"/>
        <w:ind w:left="0"/>
        <w:jc w:val="both"/>
      </w:pPr>
      <w:r>
        <w:rPr>
          <w:rFonts w:ascii="Times New Roman"/>
          <w:b w:val="false"/>
          <w:i w:val="false"/>
          <w:color w:val="000000"/>
          <w:sz w:val="28"/>
        </w:rPr>
        <w:t>
      8) informing the client about effective methods of ensuring cyber hygiene, which are recommended to be followed when using the mobile application;</w:t>
      </w:r>
    </w:p>
    <w:p>
      <w:pPr>
        <w:spacing w:after="0"/>
        <w:ind w:left="0"/>
        <w:jc w:val="both"/>
      </w:pPr>
      <w:r>
        <w:rPr>
          <w:rFonts w:ascii="Times New Roman"/>
          <w:b w:val="false"/>
          <w:i w:val="false"/>
          <w:color w:val="000000"/>
          <w:sz w:val="28"/>
        </w:rPr>
        <w:t>
      9) informing the client about events of authorization under his account, changes and (or) recovery of the password, and changes in the mobile phone number registered by the organization carrying out microfinance activities;</w:t>
      </w:r>
    </w:p>
    <w:p>
      <w:pPr>
        <w:spacing w:after="0"/>
        <w:ind w:left="0"/>
        <w:jc w:val="both"/>
      </w:pPr>
      <w:r>
        <w:rPr>
          <w:rFonts w:ascii="Times New Roman"/>
          <w:b w:val="false"/>
          <w:i w:val="false"/>
          <w:color w:val="000000"/>
          <w:sz w:val="28"/>
        </w:rPr>
        <w:t>
      10) during transactions with funds - transfer to the server software of an organization carrying out microfinance activities, geolocation data of a mobile device if there is permission from the client or transfer of information about the absence of such permission.</w:t>
      </w:r>
    </w:p>
    <w:p>
      <w:pPr>
        <w:spacing w:after="0"/>
        <w:ind w:left="0"/>
        <w:jc w:val="both"/>
      </w:pPr>
      <w:r>
        <w:rPr>
          <w:rFonts w:ascii="Times New Roman"/>
          <w:b w:val="false"/>
          <w:i w:val="false"/>
          <w:color w:val="000000"/>
          <w:sz w:val="28"/>
        </w:rPr>
        <w:t>
      26. An organization carrying out microfinance activities shall provide on its side:</w:t>
      </w:r>
    </w:p>
    <w:p>
      <w:pPr>
        <w:spacing w:after="0"/>
        <w:ind w:left="0"/>
        <w:jc w:val="both"/>
      </w:pPr>
      <w:r>
        <w:rPr>
          <w:rFonts w:ascii="Times New Roman"/>
          <w:b w:val="false"/>
          <w:i w:val="false"/>
          <w:color w:val="000000"/>
          <w:sz w:val="28"/>
        </w:rPr>
        <w:t>
      1) handling errors and exceptions securely, without disclosing confidential data in the response, providing minimally sufficient information to diagnose the problem;</w:t>
      </w:r>
    </w:p>
    <w:p>
      <w:pPr>
        <w:spacing w:after="0"/>
        <w:ind w:left="0"/>
        <w:jc w:val="both"/>
      </w:pPr>
      <w:r>
        <w:rPr>
          <w:rFonts w:ascii="Times New Roman"/>
          <w:b w:val="false"/>
          <w:i w:val="false"/>
          <w:color w:val="000000"/>
          <w:sz w:val="28"/>
        </w:rPr>
        <w:t>
      2) identification and authentication of mobile applications and associated devices;</w:t>
      </w:r>
    </w:p>
    <w:p>
      <w:pPr>
        <w:spacing w:after="0"/>
        <w:ind w:left="0"/>
        <w:jc w:val="both"/>
      </w:pPr>
      <w:r>
        <w:rPr>
          <w:rFonts w:ascii="Times New Roman"/>
          <w:b w:val="false"/>
          <w:i w:val="false"/>
          <w:color w:val="000000"/>
          <w:sz w:val="28"/>
        </w:rPr>
        <w:t>
      3) checking data for validity to prevent requests forgery and injection attacks.</w:t>
      </w:r>
    </w:p>
    <w:p>
      <w:pPr>
        <w:spacing w:after="0"/>
        <w:ind w:left="0"/>
        <w:jc w:val="both"/>
      </w:pPr>
      <w:r>
        <w:rPr>
          <w:rFonts w:ascii="Times New Roman"/>
          <w:b w:val="false"/>
          <w:i w:val="false"/>
          <w:color w:val="000000"/>
          <w:sz w:val="28"/>
        </w:rPr>
        <w:t>
      27. Access to information in the automated information system shall be provided to employees of an organization carrying out microfinance activities to the extent necessary to perform their functional duties.</w:t>
      </w:r>
    </w:p>
    <w:p>
      <w:pPr>
        <w:spacing w:after="0"/>
        <w:ind w:left="0"/>
        <w:jc w:val="both"/>
      </w:pPr>
      <w:r>
        <w:rPr>
          <w:rFonts w:ascii="Times New Roman"/>
          <w:b w:val="false"/>
          <w:i w:val="false"/>
          <w:color w:val="000000"/>
          <w:sz w:val="28"/>
        </w:rPr>
        <w:t>
      28. Access to the automated information system shall be carried out by identifying and authenticating employees of an organization carrying out microfinance activities.</w:t>
      </w:r>
    </w:p>
    <w:p>
      <w:pPr>
        <w:spacing w:after="0"/>
        <w:ind w:left="0"/>
        <w:jc w:val="both"/>
      </w:pPr>
      <w:r>
        <w:rPr>
          <w:rFonts w:ascii="Times New Roman"/>
          <w:b w:val="false"/>
          <w:i w:val="false"/>
          <w:color w:val="000000"/>
          <w:sz w:val="28"/>
        </w:rPr>
        <w:t>
      29. The automated information system shall use functions for managing accounts and passwords, as well as blocking user accounts, determined by the internal document of the organization carrying out microfinance activities.</w:t>
      </w:r>
    </w:p>
    <w:p>
      <w:pPr>
        <w:spacing w:after="0"/>
        <w:ind w:left="0"/>
        <w:jc w:val="both"/>
      </w:pPr>
      <w:r>
        <w:rPr>
          <w:rFonts w:ascii="Times New Roman"/>
          <w:b w:val="false"/>
          <w:i w:val="false"/>
          <w:color w:val="000000"/>
          <w:sz w:val="28"/>
        </w:rPr>
        <w:t>
      30. The automated information system shall be provided with technical support, which includes services for providing updates to the automated information system, including security updates.</w:t>
      </w:r>
    </w:p>
    <w:p>
      <w:pPr>
        <w:spacing w:after="0"/>
        <w:ind w:left="0"/>
        <w:jc w:val="both"/>
      </w:pPr>
      <w:r>
        <w:rPr>
          <w:rFonts w:ascii="Times New Roman"/>
          <w:b w:val="false"/>
          <w:i w:val="false"/>
          <w:color w:val="000000"/>
          <w:sz w:val="28"/>
        </w:rPr>
        <w:t>
      31. The automated information system shall provide backup storage of data, files and settings, which ensures the restoration of its working copy.</w:t>
      </w:r>
    </w:p>
    <w:p>
      <w:pPr>
        <w:spacing w:after="0"/>
        <w:ind w:left="0"/>
        <w:jc w:val="both"/>
      </w:pPr>
      <w:r>
        <w:rPr>
          <w:rFonts w:ascii="Times New Roman"/>
          <w:b w:val="false"/>
          <w:i w:val="false"/>
          <w:color w:val="000000"/>
          <w:sz w:val="28"/>
        </w:rPr>
        <w:t>
      32. In an organization carrying out microfinance activities, the maintenance and immutability of the audit trail of the automated information system shall be ensured, both at the organizational and technical levels.</w:t>
      </w:r>
    </w:p>
    <w:p>
      <w:pPr>
        <w:spacing w:after="0"/>
        <w:ind w:left="0"/>
        <w:jc w:val="both"/>
      </w:pPr>
      <w:r>
        <w:rPr>
          <w:rFonts w:ascii="Times New Roman"/>
          <w:b w:val="false"/>
          <w:i w:val="false"/>
          <w:color w:val="000000"/>
          <w:sz w:val="28"/>
        </w:rPr>
        <w:t>
      33. To protect an automated information system, licensed anti-virus software or systems shall be used to ensure the integrity or control of the immutability of the software environment on workstations, laptops and mobile devices.</w:t>
      </w:r>
    </w:p>
    <w:p>
      <w:pPr>
        <w:spacing w:after="0"/>
        <w:ind w:left="0"/>
        <w:jc w:val="both"/>
      </w:pPr>
      <w:r>
        <w:rPr>
          <w:rFonts w:ascii="Times New Roman"/>
          <w:b w:val="false"/>
          <w:i w:val="false"/>
          <w:color w:val="000000"/>
          <w:sz w:val="28"/>
        </w:rPr>
        <w:t>
      34. The organization carrying out microfinance activities shall ensure the safe storage of electronic messages and other documents provided to and received from the client, as well as data obtained during biometric identification of the client, observing their integrity and confidentiality for at least five years after the termination of the obligations of the parties under the microloan agreement.</w:t>
      </w:r>
    </w:p>
    <w:p>
      <w:pPr>
        <w:spacing w:after="0"/>
        <w:ind w:left="0"/>
        <w:jc w:val="both"/>
      </w:pPr>
      <w:r>
        <w:rPr>
          <w:rFonts w:ascii="Times New Roman"/>
          <w:b w:val="false"/>
          <w:i w:val="false"/>
          <w:color w:val="000000"/>
          <w:sz w:val="28"/>
        </w:rPr>
        <w:t>
      Electronic messages, data and other documents shall be stored in the format in which they have been generated, sent to the client or received from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Biometric identification shall provide protection against the use of a static image or video recording to counterfeit the biometric data of the client by checking that the client shall perform non-repeating sequences of control movements during biometric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If an organization carrying out microfinance activities has information about the illegal distribution of personal data of a client, the microfinance organization shall implement additional security measures, including, but not limited to:</w:t>
      </w:r>
    </w:p>
    <w:p>
      <w:pPr>
        <w:spacing w:after="0"/>
        <w:ind w:left="0"/>
        <w:jc w:val="both"/>
      </w:pPr>
      <w:r>
        <w:rPr>
          <w:rFonts w:ascii="Times New Roman"/>
          <w:b w:val="false"/>
          <w:i w:val="false"/>
          <w:color w:val="000000"/>
          <w:sz w:val="28"/>
        </w:rPr>
        <w:t>
      1) repeated biometric identification of the client;</w:t>
      </w:r>
    </w:p>
    <w:p>
      <w:pPr>
        <w:spacing w:after="0"/>
        <w:ind w:left="0"/>
        <w:jc w:val="both"/>
      </w:pPr>
      <w:r>
        <w:rPr>
          <w:rFonts w:ascii="Times New Roman"/>
          <w:b w:val="false"/>
          <w:i w:val="false"/>
          <w:color w:val="000000"/>
          <w:sz w:val="28"/>
        </w:rPr>
        <w:t>
      2) verifying the ownership of the customer's subscriber number by checking the individual identification number of the customer with the individual identification number of the owner of the subscriber number in the database of the mobile operator or obtaining information about the ownership of this subscriber number by checking the individual identification number of the customer in the database of mobile phone numbers of customers through the web portal "electronic government";</w:t>
      </w:r>
    </w:p>
    <w:p>
      <w:pPr>
        <w:spacing w:after="0"/>
        <w:ind w:left="0"/>
        <w:jc w:val="both"/>
      </w:pPr>
      <w:r>
        <w:rPr>
          <w:rFonts w:ascii="Times New Roman"/>
          <w:b w:val="false"/>
          <w:i w:val="false"/>
          <w:color w:val="000000"/>
          <w:sz w:val="28"/>
        </w:rPr>
        <w:t>
      3) a verification call to the subscriber number of the client's cellular communication device specified by the client with informing the client about the theft of his personal data and a recommendation for the client to establish a voluntary refusal to issue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the paragraph 36 in accordance with the Decree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If third parties are granted access to an automated information system or server capacities of an organization performing microfinance activities are located in third-party data processing centers (using external data processing and (or) storage services), the organization performing microfinance activities shall take the following information security measures:</w:t>
      </w:r>
    </w:p>
    <w:p>
      <w:pPr>
        <w:spacing w:after="0"/>
        <w:ind w:left="0"/>
        <w:jc w:val="both"/>
      </w:pPr>
      <w:r>
        <w:rPr>
          <w:rFonts w:ascii="Times New Roman"/>
          <w:b w:val="false"/>
          <w:i w:val="false"/>
          <w:color w:val="000000"/>
          <w:sz w:val="28"/>
        </w:rPr>
        <w:t>
      1) reflecting in the relevant agreement, agreement with a third-party requirement for the protection of automated information systems of an organization engaged in microfinance activities and the right to verify by an organization engaged in microfinance activities the fulfillment of such requirements, as well as conditions for compensation for damage arising from violation of information security and operability of automated information systems;</w:t>
      </w:r>
    </w:p>
    <w:p>
      <w:pPr>
        <w:spacing w:after="0"/>
        <w:ind w:left="0"/>
        <w:jc w:val="both"/>
      </w:pPr>
      <w:r>
        <w:rPr>
          <w:rFonts w:ascii="Times New Roman"/>
          <w:b w:val="false"/>
          <w:i w:val="false"/>
          <w:color w:val="000000"/>
          <w:sz w:val="28"/>
        </w:rPr>
        <w:t>
      2) exclusion of the possibility of access of third parties to information, the transfer of which to third parties shall not be allowed in accordance with the civil, banking legislation of the Republic of Kazakhstan, the legislation of the Republic of Kazakhstan on microfinance activities, the legislation of the Republic of Kazakhstan on personal data and their protection. For these purposes, a method of storing information in encrypted form with disclosure of information on the side of an organization engaged in microfinance activities shall be used. In this case, the encryption key is stored in an organization engaged in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paragraph 37 in accordance with the Resolution of the Board of the Agency of the Republic of Kazakhstan for Regulation and Development of the Financial Market dated 16.08.2024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