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4e9d2" w14:textId="8f4e9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categories of taxpayers - individuals registered as an individual entrepreneur or a person engaged in private practice, legal entities, Rules and deadlines for the submission by second-tier banks and organizations carrying out certain types of banking operations, information on the total amounts of payments for the calendar year, received to the current account through the use of equipment (device) intended for making payments using payment cards and mobile payments, as well as its form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Finance of the Republic of Kazakhstan dated December 31, 2019 № 1451. Registered with the Ministry of Justice of the Republic of Kazakhstan on December 31, 2019 № 19815.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 as amended by the order of the Minister of Finance of the Republic of Kazakhstan dated March 10, 2022 No. 258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19) of Article 24 of the Code of the Republic of Kazakhstan “On taxes and other obligatory payments to the budget” (Tax Code),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Finance of the Republic of Kazakhstan dated March 10, 2022 No. 258 (shall come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categories of taxpayers - individuals registered as an individual entrepreneur or a person engaged in private practice, a legal entity, in accordance with Appendix 1 to this order;</w:t>
      </w:r>
    </w:p>
    <w:p>
      <w:pPr>
        <w:spacing w:after="0"/>
        <w:ind w:left="0"/>
        <w:jc w:val="both"/>
      </w:pPr>
      <w:r>
        <w:rPr>
          <w:rFonts w:ascii="Times New Roman"/>
          <w:b w:val="false"/>
          <w:i w:val="false"/>
          <w:color w:val="000000"/>
          <w:sz w:val="28"/>
        </w:rPr>
        <w:t>
      2) Rules and deadlines for the submission by second-tier banks and organizations carrying out certain types of banking operations, information on the total amounts of payments for the calendar year received to the current account through the use of equipment (device) intended for making payments using payment cards and mobile payments in accordance with Appendix 2 to this order;</w:t>
      </w:r>
    </w:p>
    <w:p>
      <w:pPr>
        <w:spacing w:after="0"/>
        <w:ind w:left="0"/>
        <w:jc w:val="both"/>
      </w:pPr>
      <w:r>
        <w:rPr>
          <w:rFonts w:ascii="Times New Roman"/>
          <w:b w:val="false"/>
          <w:i w:val="false"/>
          <w:color w:val="000000"/>
          <w:sz w:val="28"/>
        </w:rPr>
        <w:t>
      3) a form of information on the total amounts of payments for the calendar year received to the current account through the use of equipment (device) intended for making payments using payment cards and mobile payments in accordance with Appendix 3 to this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Finance of the Republic of Kazakhstan dated March 10, 2022 No. 258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State Revenue Committee of the Ministry of Finance of the Republic of Kazakhstan in accordance with the procedure, established by the legislation,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of the Republic of Kazakhstan;</w:t>
      </w:r>
    </w:p>
    <w:p>
      <w:pPr>
        <w:spacing w:after="0"/>
        <w:ind w:left="0"/>
        <w:jc w:val="both"/>
      </w:pPr>
      <w:r>
        <w:rPr>
          <w:rFonts w:ascii="Times New Roman"/>
          <w:b w:val="false"/>
          <w:i w:val="false"/>
          <w:color w:val="000000"/>
          <w:sz w:val="28"/>
        </w:rPr>
        <w:t>
      3) within ten working days after state registration of this order with the Ministry of Justice of the Republic of Kazakhstan, submission to the Department of Legal Service of the Ministry of Finance of the Republic of Kazakhstan of information about implementation of activities, stipulated by subclauses 1) and 2) of this clause.</w:t>
      </w:r>
    </w:p>
    <w:p>
      <w:pPr>
        <w:spacing w:after="0"/>
        <w:ind w:left="0"/>
        <w:jc w:val="both"/>
      </w:pPr>
      <w:r>
        <w:rPr>
          <w:rFonts w:ascii="Times New Roman"/>
          <w:b w:val="false"/>
          <w:i w:val="false"/>
          <w:color w:val="000000"/>
          <w:sz w:val="28"/>
        </w:rPr>
        <w:t>
      3. This order shall come into force upon expiration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Minister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B. Sholpankulov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National Bank</w:t>
      </w:r>
    </w:p>
    <w:p>
      <w:pPr>
        <w:spacing w:after="0"/>
        <w:ind w:left="0"/>
        <w:jc w:val="both"/>
      </w:pPr>
      <w:r>
        <w:rPr>
          <w:rFonts w:ascii="Times New Roman"/>
          <w:b w:val="false"/>
          <w:i w:val="false"/>
          <w:color w:val="000000"/>
          <w:sz w:val="28"/>
        </w:rPr>
        <w:t xml:space="preserve">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to the order </w:t>
            </w:r>
            <w:r>
              <w:br/>
            </w:r>
            <w:r>
              <w:rPr>
                <w:rFonts w:ascii="Times New Roman"/>
                <w:b w:val="false"/>
                <w:i w:val="false"/>
                <w:color w:val="000000"/>
                <w:sz w:val="20"/>
              </w:rPr>
              <w:t>of the First Deputy Prime Minister</w:t>
            </w:r>
            <w:r>
              <w:br/>
            </w:r>
            <w:r>
              <w:rPr>
                <w:rFonts w:ascii="Times New Roman"/>
                <w:b w:val="false"/>
                <w:i w:val="false"/>
                <w:color w:val="000000"/>
                <w:sz w:val="20"/>
              </w:rPr>
              <w:t>of the Republic of Kazakhstan –</w:t>
            </w:r>
            <w:r>
              <w:br/>
            </w:r>
            <w:r>
              <w:rPr>
                <w:rFonts w:ascii="Times New Roman"/>
                <w:b w:val="false"/>
                <w:i w:val="false"/>
                <w:color w:val="000000"/>
                <w:sz w:val="20"/>
              </w:rPr>
              <w:t>Minister of Finance</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December 31, 2019 No. 1451</w:t>
            </w:r>
          </w:p>
        </w:tc>
      </w:tr>
    </w:tbl>
    <w:p>
      <w:pPr>
        <w:spacing w:after="0"/>
        <w:ind w:left="0"/>
        <w:jc w:val="left"/>
      </w:pPr>
      <w:r>
        <w:rPr>
          <w:rFonts w:ascii="Times New Roman"/>
          <w:b/>
          <w:i w:val="false"/>
          <w:color w:val="000000"/>
        </w:rPr>
        <w:t xml:space="preserve"> Categories of taxpayers – individuals, registered as an individual entrepreneur or a private practice owner, legal entities</w:t>
      </w:r>
    </w:p>
    <w:p>
      <w:pPr>
        <w:spacing w:after="0"/>
        <w:ind w:left="0"/>
        <w:jc w:val="both"/>
      </w:pPr>
      <w:r>
        <w:rPr>
          <w:rFonts w:ascii="Times New Roman"/>
          <w:b w:val="false"/>
          <w:i w:val="false"/>
          <w:color w:val="000000"/>
          <w:sz w:val="28"/>
        </w:rPr>
        <w:t>
      1 Individual entrepreneurs, including peasant or farm enterprises.</w:t>
      </w:r>
    </w:p>
    <w:p>
      <w:pPr>
        <w:spacing w:after="0"/>
        <w:ind w:left="0"/>
        <w:jc w:val="both"/>
      </w:pPr>
      <w:r>
        <w:rPr>
          <w:rFonts w:ascii="Times New Roman"/>
          <w:b w:val="false"/>
          <w:i w:val="false"/>
          <w:color w:val="000000"/>
          <w:sz w:val="28"/>
        </w:rPr>
        <w:t>
      2. Private practice owners.</w:t>
      </w:r>
    </w:p>
    <w:p>
      <w:pPr>
        <w:spacing w:after="0"/>
        <w:ind w:left="0"/>
        <w:jc w:val="both"/>
      </w:pPr>
      <w:r>
        <w:rPr>
          <w:rFonts w:ascii="Times New Roman"/>
          <w:b w:val="false"/>
          <w:i w:val="false"/>
          <w:color w:val="000000"/>
          <w:sz w:val="28"/>
        </w:rPr>
        <w:t>
      3. Legal entities, applying special tax regimes.</w:t>
      </w:r>
    </w:p>
    <w:p>
      <w:pPr>
        <w:spacing w:after="0"/>
        <w:ind w:left="0"/>
        <w:jc w:val="both"/>
      </w:pPr>
      <w:r>
        <w:rPr>
          <w:rFonts w:ascii="Times New Roman"/>
          <w:b w:val="false"/>
          <w:i w:val="false"/>
          <w:color w:val="000000"/>
          <w:sz w:val="28"/>
        </w:rPr>
        <w:t>
      4. Legal entities, which are the subjects of gambling business.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to the order </w:t>
            </w:r>
            <w:r>
              <w:br/>
            </w:r>
            <w:r>
              <w:rPr>
                <w:rFonts w:ascii="Times New Roman"/>
                <w:b w:val="false"/>
                <w:i w:val="false"/>
                <w:color w:val="000000"/>
                <w:sz w:val="20"/>
              </w:rPr>
              <w:t>of the First Deputy Prime Minister</w:t>
            </w:r>
            <w:r>
              <w:br/>
            </w:r>
            <w:r>
              <w:rPr>
                <w:rFonts w:ascii="Times New Roman"/>
                <w:b w:val="false"/>
                <w:i w:val="false"/>
                <w:color w:val="000000"/>
                <w:sz w:val="20"/>
              </w:rPr>
              <w:t>of the Republic of Kazakhstan –</w:t>
            </w:r>
            <w:r>
              <w:br/>
            </w:r>
            <w:r>
              <w:rPr>
                <w:rFonts w:ascii="Times New Roman"/>
                <w:b w:val="false"/>
                <w:i w:val="false"/>
                <w:color w:val="000000"/>
                <w:sz w:val="20"/>
              </w:rPr>
              <w:t>Minister of Finance</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December 31, 2019 No. 1451</w:t>
            </w:r>
          </w:p>
        </w:tc>
      </w:tr>
    </w:tbl>
    <w:p>
      <w:pPr>
        <w:spacing w:after="0"/>
        <w:ind w:left="0"/>
        <w:jc w:val="left"/>
      </w:pPr>
      <w:r>
        <w:rPr>
          <w:rFonts w:ascii="Times New Roman"/>
          <w:b/>
          <w:i w:val="false"/>
          <w:color w:val="000000"/>
        </w:rPr>
        <w:t xml:space="preserve"> Rules and deadlines  for the submission by second-tier banks and organizations carrying out certain types of banking  operations, information on the total amounts of payments for the calendar year received to the current account,  through the use of equipment (device) intended for making payments using payment cards and mobile payments</w:t>
      </w:r>
    </w:p>
    <w:p>
      <w:pPr>
        <w:spacing w:after="0"/>
        <w:ind w:left="0"/>
        <w:jc w:val="both"/>
      </w:pPr>
      <w:r>
        <w:rPr>
          <w:rFonts w:ascii="Times New Roman"/>
          <w:b w:val="false"/>
          <w:i w:val="false"/>
          <w:color w:val="ff0000"/>
          <w:sz w:val="28"/>
        </w:rPr>
        <w:t>
      Footnote. The title - as amended by the order of the Minister of Finance of the Republic of Kazakhstan dated March 10, 2022 No. 258 (shall come into effect upon the expiration of ten calendar days after the day of its first official publication).</w:t>
      </w:r>
    </w:p>
    <w:p>
      <w:pPr>
        <w:spacing w:after="0"/>
        <w:ind w:left="0"/>
        <w:jc w:val="both"/>
      </w:pPr>
      <w:r>
        <w:rPr>
          <w:rFonts w:ascii="Times New Roman"/>
          <w:b w:val="false"/>
          <w:i w:val="false"/>
          <w:color w:val="000000"/>
          <w:sz w:val="28"/>
        </w:rPr>
        <w:t>Chapter 1. General provisions</w:t>
      </w:r>
    </w:p>
    <w:p>
      <w:pPr>
        <w:spacing w:after="0"/>
        <w:ind w:left="0"/>
        <w:jc w:val="both"/>
      </w:pPr>
      <w:r>
        <w:rPr>
          <w:rFonts w:ascii="Times New Roman"/>
          <w:b w:val="false"/>
          <w:i w:val="false"/>
          <w:color w:val="000000"/>
          <w:sz w:val="28"/>
        </w:rPr>
        <w:t>
      1. These Rules and the deadlines for submission by second-tier banks and organizations carrying out certain types of banking operations, information on the total amounts of payments for the calendar year received to the current account through the use of equipment (device) intended for making payments using payment cards and mobile payments (hereinafter referred to as the Rules) have been developed in accordance with subparagraph 19) of Article 24 of the Code of the Republic of Kazakhstan “On taxes and other obligatory payments to the budget” (Tax Code) and shall determine the procedure and deadlines for submission by second-tier banks and organizations carrying out certain types of banking operations (hereinafter referred to as Banks and organizations), information on the total amounts of payments for the calendar year received to the current account (hereinafter referred to as Information) of a taxpayer - an individual registered as an individual entrepreneur or a person engaged in private practice, a legal entity (hereinafter referred to as Taxpayers), through the use of equipment (device) intended for making payments using payment cards and mobile payments.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Finance of the Republic of Kazakhstan dated March 10, 2022 No. 258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Chapter</w:t>
      </w:r>
      <w:r>
        <w:rPr>
          <w:rFonts w:ascii="Times New Roman"/>
          <w:b/>
          <w:i w:val="false"/>
          <w:color w:val="000000"/>
          <w:sz w:val="28"/>
        </w:rPr>
        <w:t xml:space="preserve"> 2. </w:t>
      </w:r>
      <w:r>
        <w:rPr>
          <w:rFonts w:ascii="Times New Roman"/>
          <w:b/>
          <w:i w:val="false"/>
          <w:color w:val="000000"/>
          <w:sz w:val="28"/>
        </w:rPr>
        <w:t>Procedure and terms for the transfer of the Information</w:t>
      </w:r>
    </w:p>
    <w:p>
      <w:pPr>
        <w:spacing w:after="0"/>
        <w:ind w:left="0"/>
        <w:jc w:val="both"/>
      </w:pPr>
      <w:r>
        <w:rPr>
          <w:rFonts w:ascii="Times New Roman"/>
          <w:b w:val="false"/>
          <w:i w:val="false"/>
          <w:color w:val="000000"/>
          <w:sz w:val="28"/>
        </w:rPr>
        <w:t>
      2. The State Revenue Committee of the Ministry of Finance of the Republic of Kazakhstan (hereinafter referred to as the Committee) shall form annually, no later than January 20 of the year following the reporting year, as of December 31 of the reporting year, in Microsoft Excel format, categories of taxpayers - individuals registered as an individual entrepreneur or a person engaged in private practice, legal entities according to Appendix 1 to this order.</w:t>
      </w:r>
    </w:p>
    <w:p>
      <w:pPr>
        <w:spacing w:after="0"/>
        <w:ind w:left="0"/>
        <w:jc w:val="both"/>
      </w:pPr>
      <w:r>
        <w:rPr>
          <w:rFonts w:ascii="Times New Roman"/>
          <w:b w:val="false"/>
          <w:i w:val="false"/>
          <w:color w:val="000000"/>
          <w:sz w:val="28"/>
        </w:rPr>
        <w:t>
      3. The Committee, within 10 (ten) calendar days from the date of the formation of the list of taxpayers, shall send to the Banks and organizations a request for the submission of Information with the attachment of the specified list.</w:t>
      </w:r>
    </w:p>
    <w:p>
      <w:pPr>
        <w:spacing w:after="0"/>
        <w:ind w:left="0"/>
        <w:jc w:val="both"/>
      </w:pPr>
      <w:r>
        <w:rPr>
          <w:rFonts w:ascii="Times New Roman"/>
          <w:b w:val="false"/>
          <w:i w:val="false"/>
          <w:color w:val="000000"/>
          <w:sz w:val="28"/>
        </w:rPr>
        <w:t>
      4. The Banks and organizations within 20 (twenty) working days from the date of receipt of the request on provision of the Information, shall transfer to the Committee the Information in kind of an electronic document in the Microsoft Excel format in the form according to Appendix 3 to this order.</w:t>
      </w:r>
    </w:p>
    <w:p>
      <w:pPr>
        <w:spacing w:after="0"/>
        <w:ind w:left="0"/>
        <w:jc w:val="both"/>
      </w:pPr>
      <w:r>
        <w:rPr>
          <w:rFonts w:ascii="Times New Roman"/>
          <w:b w:val="false"/>
          <w:i w:val="false"/>
          <w:color w:val="000000"/>
          <w:sz w:val="28"/>
        </w:rPr>
        <w:t>
      5. The Form of Information shall be filled out as follows:</w:t>
      </w:r>
    </w:p>
    <w:p>
      <w:pPr>
        <w:spacing w:after="0"/>
        <w:ind w:left="0"/>
        <w:jc w:val="both"/>
      </w:pPr>
      <w:r>
        <w:rPr>
          <w:rFonts w:ascii="Times New Roman"/>
          <w:b w:val="false"/>
          <w:i w:val="false"/>
          <w:color w:val="000000"/>
          <w:sz w:val="28"/>
        </w:rPr>
        <w:t>
      1) in column 1 of the form, the serial number is indicated;</w:t>
      </w:r>
    </w:p>
    <w:p>
      <w:pPr>
        <w:spacing w:after="0"/>
        <w:ind w:left="0"/>
        <w:jc w:val="both"/>
      </w:pPr>
      <w:r>
        <w:rPr>
          <w:rFonts w:ascii="Times New Roman"/>
          <w:b w:val="false"/>
          <w:i w:val="false"/>
          <w:color w:val="000000"/>
          <w:sz w:val="28"/>
        </w:rPr>
        <w:t>
      2) in column 2 of the form the reporting year for which the Information is submitted is indicated;</w:t>
      </w:r>
    </w:p>
    <w:p>
      <w:pPr>
        <w:spacing w:after="0"/>
        <w:ind w:left="0"/>
        <w:jc w:val="both"/>
      </w:pPr>
      <w:r>
        <w:rPr>
          <w:rFonts w:ascii="Times New Roman"/>
          <w:b w:val="false"/>
          <w:i w:val="false"/>
          <w:color w:val="000000"/>
          <w:sz w:val="28"/>
        </w:rPr>
        <w:t>
      3) in column 3 of the form an Individual Identification Number or a Business Identification Number (hereinafter referred to as the BIN) of a taxpayer is indicated;</w:t>
      </w:r>
    </w:p>
    <w:p>
      <w:pPr>
        <w:spacing w:after="0"/>
        <w:ind w:left="0"/>
        <w:jc w:val="both"/>
      </w:pPr>
      <w:r>
        <w:rPr>
          <w:rFonts w:ascii="Times New Roman"/>
          <w:b w:val="false"/>
          <w:i w:val="false"/>
          <w:color w:val="000000"/>
          <w:sz w:val="28"/>
        </w:rPr>
        <w:t>
      4) in column 4 of the form the name of a taxpayer is indicated;</w:t>
      </w:r>
    </w:p>
    <w:p>
      <w:pPr>
        <w:spacing w:after="0"/>
        <w:ind w:left="0"/>
        <w:jc w:val="both"/>
      </w:pPr>
      <w:r>
        <w:rPr>
          <w:rFonts w:ascii="Times New Roman"/>
          <w:b w:val="false"/>
          <w:i w:val="false"/>
          <w:color w:val="000000"/>
          <w:sz w:val="28"/>
        </w:rPr>
        <w:t>
      5) in column 5 of the form the BIN of the bank (branch, subdivision of the bank), in which bank accounts are opened, is indicated;</w:t>
      </w:r>
    </w:p>
    <w:p>
      <w:pPr>
        <w:spacing w:after="0"/>
        <w:ind w:left="0"/>
        <w:jc w:val="both"/>
      </w:pPr>
      <w:r>
        <w:rPr>
          <w:rFonts w:ascii="Times New Roman"/>
          <w:b w:val="false"/>
          <w:i w:val="false"/>
          <w:color w:val="000000"/>
          <w:sz w:val="28"/>
        </w:rPr>
        <w:t>
      6) in column 6 of the form the bank identification code of the bank (branch, subdivision of the bank), in which the bank accounts are opened is indicated;</w:t>
      </w:r>
    </w:p>
    <w:p>
      <w:pPr>
        <w:spacing w:after="0"/>
        <w:ind w:left="0"/>
        <w:jc w:val="both"/>
      </w:pPr>
      <w:r>
        <w:rPr>
          <w:rFonts w:ascii="Times New Roman"/>
          <w:b w:val="false"/>
          <w:i w:val="false"/>
          <w:color w:val="000000"/>
          <w:sz w:val="28"/>
        </w:rPr>
        <w:t>
      7) in column 7 of the form the name of the bank (branch, subdivision of the bank), in which the bank accounts are opened is indicated;</w:t>
      </w:r>
    </w:p>
    <w:p>
      <w:pPr>
        <w:spacing w:after="0"/>
        <w:ind w:left="0"/>
        <w:jc w:val="both"/>
      </w:pPr>
      <w:r>
        <w:rPr>
          <w:rFonts w:ascii="Times New Roman"/>
          <w:b w:val="false"/>
          <w:i w:val="false"/>
          <w:color w:val="000000"/>
          <w:sz w:val="28"/>
        </w:rPr>
        <w:t>
      8) in column 8 of the form the code of the bank account is indicated;</w:t>
      </w:r>
    </w:p>
    <w:p>
      <w:pPr>
        <w:spacing w:after="0"/>
        <w:ind w:left="0"/>
        <w:jc w:val="both"/>
      </w:pPr>
      <w:r>
        <w:rPr>
          <w:rFonts w:ascii="Times New Roman"/>
          <w:b w:val="false"/>
          <w:i w:val="false"/>
          <w:color w:val="000000"/>
          <w:sz w:val="28"/>
        </w:rPr>
        <w:t>
      9) in column 9 of the form the currency of the bank account is indicated;</w:t>
      </w:r>
    </w:p>
    <w:p>
      <w:pPr>
        <w:spacing w:after="0"/>
        <w:ind w:left="0"/>
        <w:jc w:val="both"/>
      </w:pPr>
      <w:r>
        <w:rPr>
          <w:rFonts w:ascii="Times New Roman"/>
          <w:b w:val="false"/>
          <w:i w:val="false"/>
          <w:color w:val="000000"/>
          <w:sz w:val="28"/>
        </w:rPr>
        <w:t>
      10) in column 10 of the form the number of the bank account of the taxpayer is indicated;</w:t>
      </w:r>
    </w:p>
    <w:p>
      <w:pPr>
        <w:spacing w:after="0"/>
        <w:ind w:left="0"/>
        <w:jc w:val="both"/>
      </w:pPr>
      <w:r>
        <w:rPr>
          <w:rFonts w:ascii="Times New Roman"/>
          <w:b w:val="false"/>
          <w:i w:val="false"/>
          <w:color w:val="000000"/>
          <w:sz w:val="28"/>
        </w:rPr>
        <w:t>
      11) in column 11 of the form the amount of payments received on the current account for the reporting calendar year, through the use of equipment (device) designed to make payments using payment cards is indicated;</w:t>
      </w:r>
    </w:p>
    <w:p>
      <w:pPr>
        <w:spacing w:after="0"/>
        <w:ind w:left="0"/>
        <w:jc w:val="both"/>
      </w:pPr>
      <w:r>
        <w:rPr>
          <w:rFonts w:ascii="Times New Roman"/>
          <w:b w:val="false"/>
          <w:i w:val="false"/>
          <w:color w:val="000000"/>
          <w:sz w:val="28"/>
        </w:rPr>
        <w:t>
      12) column 12 of the form shall indicate the total amount of mobile payments received to the current account for the reporting calendar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order of the Minister of Finance of the Republic of Kazakhstan dated March 10, 2022 No. 258 (shall come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Information shall be certified with an electronic digital signature of a person, authorized f for the transfer of information, or his/her substitute.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order of the First Deputy Prime Minister </w:t>
            </w:r>
            <w:r>
              <w:br/>
            </w:r>
            <w:r>
              <w:rPr>
                <w:rFonts w:ascii="Times New Roman"/>
                <w:b w:val="false"/>
                <w:i w:val="false"/>
                <w:color w:val="000000"/>
                <w:sz w:val="20"/>
              </w:rPr>
              <w:t xml:space="preserve">of the Republic of Kazakhstan - Minister of Finance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December 31, 2019 No. 1451</w:t>
            </w:r>
          </w:p>
        </w:tc>
      </w:tr>
    </w:tbl>
    <w:p>
      <w:pPr>
        <w:spacing w:after="0"/>
        <w:ind w:left="0"/>
        <w:jc w:val="both"/>
      </w:pPr>
      <w:r>
        <w:rPr>
          <w:rFonts w:ascii="Times New Roman"/>
          <w:b w:val="false"/>
          <w:i w:val="false"/>
          <w:color w:val="000000"/>
          <w:sz w:val="28"/>
        </w:rPr>
        <w:t>
      Form</w:t>
      </w:r>
    </w:p>
    <w:bookmarkStart w:name="z58" w:id="0"/>
    <w:p>
      <w:pPr>
        <w:spacing w:after="0"/>
        <w:ind w:left="0"/>
        <w:jc w:val="left"/>
      </w:pPr>
      <w:r>
        <w:rPr>
          <w:rFonts w:ascii="Times New Roman"/>
          <w:b/>
          <w:i w:val="false"/>
          <w:color w:val="000000"/>
        </w:rPr>
        <w:t xml:space="preserve"> Information on the total amounts of payments for the calendar year received  to the current account of a taxpayer - an individual registered as an individual entrepreneur or a person engaged  in private practice, a legal entity, through the use of equipment (device) intended for making  payments using payment cards and mobile payments</w:t>
      </w:r>
    </w:p>
    <w:bookmarkEnd w:id="0"/>
    <w:p>
      <w:pPr>
        <w:spacing w:after="0"/>
        <w:ind w:left="0"/>
        <w:jc w:val="both"/>
      </w:pPr>
      <w:r>
        <w:rPr>
          <w:rFonts w:ascii="Times New Roman"/>
          <w:b w:val="false"/>
          <w:i w:val="false"/>
          <w:color w:val="ff0000"/>
          <w:sz w:val="28"/>
        </w:rPr>
        <w:t>
      Footnote. Appendix 3 - as amended by the order of the Minister of Finance of the Republic of Kazakhstan dated March 10, 2022 No. 258 (shall be brought into force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bank (branch, bank division) in which bank accounts are opened</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bank account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account currency</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account number</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payments received for the calendar year</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mobile payments received to the current account for the reporting calendar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last name, first name, patronymic (if any) of the person responsible for drawing up the form, signature</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last name, first name, patronymic (if any) of the manager, signature</w:t>
      </w:r>
    </w:p>
    <w:p>
      <w:pPr>
        <w:spacing w:after="0"/>
        <w:ind w:left="0"/>
        <w:jc w:val="both"/>
      </w:pPr>
      <w:r>
        <w:rPr>
          <w:rFonts w:ascii="Times New Roman"/>
          <w:b w:val="false"/>
          <w:i w:val="false"/>
          <w:color w:val="000000"/>
          <w:sz w:val="28"/>
        </w:rPr>
        <w:t>
      Note: abbreviation expansion:</w:t>
      </w:r>
    </w:p>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BIC - bank identification code;</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No. –number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