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dfc0" w14:textId="76ad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the state guaranteed obligation to support exports and the financial condition of the Export Credit Agency of Kazakhstan, which shall have a state guarantee to support exports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February 12, 2020 no. 138. Registered with the Ministry of Justice of the Republic of Kazakhstan on February 13, 2020 no. 20033.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in the wording of the order of the Minister of Finance of the RK dated 18.04.2024 № 220 (shall enter into force upon expiry of ten calendar days after the day of its first official publication).</w:t>
      </w:r>
    </w:p>
    <w:bookmarkStart w:name="z5" w:id="0"/>
    <w:p>
      <w:pPr>
        <w:spacing w:after="0"/>
        <w:ind w:left="0"/>
        <w:jc w:val="both"/>
      </w:pPr>
      <w:r>
        <w:rPr>
          <w:rFonts w:ascii="Times New Roman"/>
          <w:b w:val="false"/>
          <w:i w:val="false"/>
          <w:color w:val="000000"/>
          <w:sz w:val="28"/>
        </w:rPr>
        <w:t xml:space="preserve">
      In accordance with Article 225-5 of the Budget Code of the Republic of Kazakhstan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Finance of the RK dated 18.04.2024 № 220 (shall enter into force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Rules for monitoring the state-guaranteed obligation to support exports and the financial condition of the Export Credit Agency of Kazakhstan, which has a state guarantee to support exports.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Point 1 - in the wording of the order of the Minister of Finance of RK dated 18.04.2024 № 220 (shall enter into force upon expiry of ten calendar days after the day of its first official publication).</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The Department of State Borrowing of the Ministry of Finance of the Republic of Kazakhstan in accordance with the procedure established by law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Department of Legal Service of the Ministry of Finance of the Republic of Kazakhstan of information about execution of measures stipulated by subclauses 1) and 2) of this clause.</w:t>
      </w:r>
    </w:p>
    <w:bookmarkEnd w:id="5"/>
    <w:bookmarkStart w:name="z11" w:id="6"/>
    <w:p>
      <w:pPr>
        <w:spacing w:after="0"/>
        <w:ind w:left="0"/>
        <w:jc w:val="both"/>
      </w:pPr>
      <w:r>
        <w:rPr>
          <w:rFonts w:ascii="Times New Roman"/>
          <w:b w:val="false"/>
          <w:i w:val="false"/>
          <w:color w:val="000000"/>
          <w:sz w:val="28"/>
        </w:rPr>
        <w:t>
      3. This order shall come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First Deputy 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Kazakhstan-Minister of Finance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"AGREED"</w:t>
      </w:r>
    </w:p>
    <w:bookmarkEnd w:id="7"/>
    <w:p>
      <w:pPr>
        <w:spacing w:after="0"/>
        <w:ind w:left="0"/>
        <w:jc w:val="both"/>
      </w:pPr>
      <w:r>
        <w:rPr>
          <w:rFonts w:ascii="Times New Roman"/>
          <w:b w:val="false"/>
          <w:i w:val="false"/>
          <w:color w:val="000000"/>
          <w:sz w:val="28"/>
        </w:rPr>
        <w:t xml:space="preserve">Ministry of Trade and Integration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4"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First Deputy</w:t>
            </w:r>
            <w:r>
              <w:br/>
            </w:r>
            <w:r>
              <w:rPr>
                <w:rFonts w:ascii="Times New Roman"/>
                <w:b w:val="false"/>
                <w:i w:val="false"/>
                <w:color w:val="000000"/>
                <w:sz w:val="20"/>
              </w:rPr>
              <w:t>of the Prime Minister</w:t>
            </w:r>
            <w:r>
              <w:br/>
            </w:r>
            <w:r>
              <w:rPr>
                <w:rFonts w:ascii="Times New Roman"/>
                <w:b w:val="false"/>
                <w:i w:val="false"/>
                <w:color w:val="000000"/>
                <w:sz w:val="20"/>
              </w:rPr>
              <w:t>of the Republic of Kazakhstan</w:t>
            </w:r>
            <w:r>
              <w:br/>
            </w:r>
            <w:r>
              <w:rPr>
                <w:rFonts w:ascii="Times New Roman"/>
                <w:b w:val="false"/>
                <w:i w:val="false"/>
                <w:color w:val="000000"/>
                <w:sz w:val="20"/>
              </w:rPr>
              <w:t>– 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February 12, 2020 № 138</w:t>
            </w:r>
          </w:p>
        </w:tc>
      </w:tr>
    </w:tbl>
    <w:p>
      <w:pPr>
        <w:spacing w:after="0"/>
        <w:ind w:left="0"/>
        <w:jc w:val="left"/>
      </w:pPr>
      <w:r>
        <w:rPr>
          <w:rFonts w:ascii="Times New Roman"/>
          <w:b/>
          <w:i w:val="false"/>
          <w:color w:val="000000"/>
        </w:rPr>
        <w:t xml:space="preserve"> Rules for monitoring the state-guaranteed export support obligation and financial condition of the Export Credit Agency of Kazakhstan, which has a state guarantee on export support</w:t>
      </w:r>
    </w:p>
    <w:p>
      <w:pPr>
        <w:spacing w:after="0"/>
        <w:ind w:left="0"/>
        <w:jc w:val="both"/>
      </w:pPr>
      <w:r>
        <w:rPr>
          <w:rFonts w:ascii="Times New Roman"/>
          <w:b w:val="false"/>
          <w:i w:val="false"/>
          <w:color w:val="ff0000"/>
          <w:sz w:val="28"/>
        </w:rPr>
        <w:t>
      Footnote. Rules - as amended by the order of the Minister of Finance of the Republic of Kazakhstan dated 18.04.2024 № 220 (shall be brought into force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bookmarkStart w:name="z25" w:id="9"/>
    <w:p>
      <w:pPr>
        <w:spacing w:after="0"/>
        <w:ind w:left="0"/>
        <w:jc w:val="both"/>
      </w:pPr>
      <w:r>
        <w:rPr>
          <w:rFonts w:ascii="Times New Roman"/>
          <w:b w:val="false"/>
          <w:i w:val="false"/>
          <w:color w:val="000000"/>
          <w:sz w:val="28"/>
        </w:rPr>
        <w:t>
      1. These Rules for monitoring of the state-guaranteed export support obligation and financial condition of the Export Credit Agency of Kazakhstan, which has a state export support guarantee (hereinafter referred to as the Rules) have been developed in accordance with Article 225-5 of the Budget Code of the Republic of Kazakhstan (hereinafter referred to as the Budget Code) and shall determine the procedure for monitoring of the state-guaranteed export support obligation and financial condition of the Export Credit Agency of Kazakhstan, which has a state export support guarantee (hereinafter referred to as the Rules).</w:t>
      </w:r>
    </w:p>
    <w:bookmarkEnd w:id="9"/>
    <w:p>
      <w:pPr>
        <w:spacing w:after="0"/>
        <w:ind w:left="0"/>
        <w:jc w:val="both"/>
      </w:pPr>
      <w:r>
        <w:rPr>
          <w:rFonts w:ascii="Times New Roman"/>
          <w:b w:val="false"/>
          <w:i w:val="false"/>
          <w:color w:val="000000"/>
          <w:sz w:val="28"/>
        </w:rPr>
        <w:t>
      The procedure for granting state guarantee of the Republic of Kazakhstan on export support shall be regulated by the Rules of granting state guarantee of the Republic of Kazakhstan on export support, approved by the order of the First Deputy Prime Minister of the Republic of Kazakhstan - Minister of Finance of the Republic of Kazakhstan dated July 2, 2019 № 674 (registered in the Register of state registration of regulatory legal acts under № 19026).</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special loan account - an account opened by the Export Credit Agency of Kazakhstan in a second-tier bank or an organization engaged in certain types of banking operations, authorized to service state-guaranteed obligations to support exports and designed to transfer funds from the republican budget to fulfill state-guaranteed obligations to support exports, as well as to return to the republican budget the funds allocated to fulfill obligations under the state guarantee on the following items</w:t>
      </w:r>
    </w:p>
    <w:p>
      <w:pPr>
        <w:spacing w:after="0"/>
        <w:ind w:left="0"/>
        <w:jc w:val="both"/>
      </w:pPr>
      <w:r>
        <w:rPr>
          <w:rFonts w:ascii="Times New Roman"/>
          <w:b w:val="false"/>
          <w:i w:val="false"/>
          <w:color w:val="000000"/>
          <w:sz w:val="28"/>
        </w:rPr>
        <w:t>
      2) bank - a legal entity being a commercial organization, which shall be authorized to carry out banking activities in accordance with the Law of the Republic of Kazakhstan “On Banks and Banking Activities in the Republic of Kazakhstan”;</w:t>
      </w:r>
    </w:p>
    <w:p>
      <w:pPr>
        <w:spacing w:after="0"/>
        <w:ind w:left="0"/>
        <w:jc w:val="both"/>
      </w:pPr>
      <w:r>
        <w:rPr>
          <w:rFonts w:ascii="Times New Roman"/>
          <w:b w:val="false"/>
          <w:i w:val="false"/>
          <w:color w:val="000000"/>
          <w:sz w:val="28"/>
        </w:rPr>
        <w:t>
      3) central authorized body for budget execution (hereinafter referred to as the authorized body for budget execution) - a central executive body that shall carry out management and inter-branch coordination in the field of budget execution, accounting, budget accounting and budget reporting on execution of the republican budget and, within its competence, local budgets, Victims Compensation Fund, National Fund of the Republic of Kazakhstan on the basis of the report of the National Bank of the Republic of Kazakhstan;</w:t>
      </w:r>
    </w:p>
    <w:p>
      <w:pPr>
        <w:spacing w:after="0"/>
        <w:ind w:left="0"/>
        <w:jc w:val="both"/>
      </w:pPr>
      <w:r>
        <w:rPr>
          <w:rFonts w:ascii="Times New Roman"/>
          <w:b w:val="false"/>
          <w:i w:val="false"/>
          <w:color w:val="000000"/>
          <w:sz w:val="28"/>
        </w:rPr>
        <w:t>
      4) state (governmental, sovereign) guarantee of the Republic of Kazakhstan on export support (hereinafter referred to as the State Guarantee) - the obligation of the Government of the Republic of Kazakhstan to the Export Credit Agency of Kazakhstan in accordance with the terms and conditions of the contract of guarantee on export support, to fully or partially repay its debt on insurance and guarantee payments;</w:t>
      </w:r>
    </w:p>
    <w:p>
      <w:pPr>
        <w:spacing w:after="0"/>
        <w:ind w:left="0"/>
        <w:jc w:val="both"/>
      </w:pPr>
      <w:r>
        <w:rPr>
          <w:rFonts w:ascii="Times New Roman"/>
          <w:b w:val="false"/>
          <w:i w:val="false"/>
          <w:color w:val="000000"/>
          <w:sz w:val="28"/>
        </w:rPr>
        <w:t>
      5) Export Credit Agency of Kazakhstan (hereinafter referred to as the Agency) - a party to the export support guarantee agreement and the agreement on granting the state export support guarantee, receiving the State Guarantee, which bears the obligation to return to the republican budget the funds allocated for fulfillment of obligations under the State Guarantee at the expense of insurance and guarantee payments reimbursement;</w:t>
      </w:r>
    </w:p>
    <w:p>
      <w:pPr>
        <w:spacing w:after="0"/>
        <w:ind w:left="0"/>
        <w:jc w:val="both"/>
      </w:pPr>
      <w:r>
        <w:rPr>
          <w:rFonts w:ascii="Times New Roman"/>
          <w:b w:val="false"/>
          <w:i w:val="false"/>
          <w:color w:val="000000"/>
          <w:sz w:val="28"/>
        </w:rPr>
        <w:t>
      6) attorney (agent) - a person who, on the basis of the agreement on granting the State Guarantee, ensures the performance of works related to the State Guarantee granted and ensuring the return of funds diverted from the republican budget in case of fulfillment of obligations under the State Guarantee;</w:t>
      </w:r>
    </w:p>
    <w:p>
      <w:pPr>
        <w:spacing w:after="0"/>
        <w:ind w:left="0"/>
        <w:jc w:val="both"/>
      </w:pPr>
      <w:r>
        <w:rPr>
          <w:rFonts w:ascii="Times New Roman"/>
          <w:b w:val="false"/>
          <w:i w:val="false"/>
          <w:color w:val="000000"/>
          <w:sz w:val="28"/>
        </w:rPr>
        <w:t>
      7) Export Support Guarantee Agreement - a written agreement between the authorized body for budget execution and the Export Credit Agency of Kazakhstan, which shall establish legal relations, obligations and responsibility of the parties when providing the State Guarantee;</w:t>
      </w:r>
    </w:p>
    <w:p>
      <w:pPr>
        <w:spacing w:after="0"/>
        <w:ind w:left="0"/>
        <w:jc w:val="both"/>
      </w:pPr>
      <w:r>
        <w:rPr>
          <w:rFonts w:ascii="Times New Roman"/>
          <w:b w:val="false"/>
          <w:i w:val="false"/>
          <w:color w:val="000000"/>
          <w:sz w:val="28"/>
        </w:rPr>
        <w:t>
      8) Agreement on granting the State Guarantee on export support - an agreement between the central authorized body on budget execution, attorney (agent) and the Export Credit Agency of Kazakhstan, establishing legal relations of the parties on granting the State Guarantee on export support, return of the republican budget funds diverted in case of fulfillment of obligations under the State Guarantee on export support;</w:t>
      </w:r>
    </w:p>
    <w:p>
      <w:pPr>
        <w:spacing w:after="0"/>
        <w:ind w:left="0"/>
        <w:jc w:val="both"/>
      </w:pPr>
      <w:r>
        <w:rPr>
          <w:rFonts w:ascii="Times New Roman"/>
          <w:b w:val="false"/>
          <w:i w:val="false"/>
          <w:color w:val="000000"/>
          <w:sz w:val="28"/>
        </w:rPr>
        <w:t>
      9) state-guaranteed obligation on export support - the amount of outstanding obligations under insurance contracts and guarantees secured by the state guarantee of the Republic of Kazakhstan on export support, for which the Export Credit Agency of Kazakhstan has not made insurance and guarantee payments, as of a certain date.</w:t>
      </w:r>
    </w:p>
    <w:p>
      <w:pPr>
        <w:spacing w:after="0"/>
        <w:ind w:left="0"/>
        <w:jc w:val="both"/>
      </w:pPr>
      <w:r>
        <w:rPr>
          <w:rFonts w:ascii="Times New Roman"/>
          <w:b w:val="false"/>
          <w:i w:val="false"/>
          <w:color w:val="000000"/>
          <w:sz w:val="28"/>
        </w:rPr>
        <w:t>
      Other concepts used in these Rules shall be applied in the meaning in which they are used in the relevant branches of the legislation of the Republic of Kazakhstan, unless otherwise provided for by the budget legislation of the Republic of Kazakhstan and these Rules.</w:t>
      </w:r>
    </w:p>
    <w:bookmarkStart w:name="z38" w:id="10"/>
    <w:p>
      <w:pPr>
        <w:spacing w:after="0"/>
        <w:ind w:left="0"/>
        <w:jc w:val="left"/>
      </w:pPr>
      <w:r>
        <w:rPr>
          <w:rFonts w:ascii="Times New Roman"/>
          <w:b/>
          <w:i w:val="false"/>
          <w:color w:val="000000"/>
        </w:rPr>
        <w:t xml:space="preserve"> Chapter 2: Procedure for monitoring of the state-guaranteed export support obligation and financial condition financial condition of the Export Credit Agency of Kazakhstan, which has a state guarantee on export support Paragraph 1: Procedure for monitoring of state guaranteed export support obligations</w:t>
      </w:r>
    </w:p>
    <w:bookmarkEnd w:id="10"/>
    <w:bookmarkStart w:name="z40" w:id="11"/>
    <w:p>
      <w:pPr>
        <w:spacing w:after="0"/>
        <w:ind w:left="0"/>
        <w:jc w:val="both"/>
      </w:pPr>
      <w:r>
        <w:rPr>
          <w:rFonts w:ascii="Times New Roman"/>
          <w:b w:val="false"/>
          <w:i w:val="false"/>
          <w:color w:val="000000"/>
          <w:sz w:val="28"/>
        </w:rPr>
        <w:t>
      3. This Chapter shall define the procedures for monitoring the State Guaranteed Export Support Obligation.</w:t>
      </w:r>
    </w:p>
    <w:bookmarkEnd w:id="11"/>
    <w:p>
      <w:pPr>
        <w:spacing w:after="0"/>
        <w:ind w:left="0"/>
        <w:jc w:val="both"/>
      </w:pPr>
      <w:r>
        <w:rPr>
          <w:rFonts w:ascii="Times New Roman"/>
          <w:b w:val="false"/>
          <w:i w:val="false"/>
          <w:color w:val="000000"/>
          <w:sz w:val="28"/>
        </w:rPr>
        <w:t>
      4. The object of monitoring shall be obligations under insurance contracts and guarantees secured by the State Guarantee.</w:t>
      </w:r>
    </w:p>
    <w:p>
      <w:pPr>
        <w:spacing w:after="0"/>
        <w:ind w:left="0"/>
        <w:jc w:val="both"/>
      </w:pPr>
      <w:r>
        <w:rPr>
          <w:rFonts w:ascii="Times New Roman"/>
          <w:b w:val="false"/>
          <w:i w:val="false"/>
          <w:color w:val="000000"/>
          <w:sz w:val="28"/>
        </w:rPr>
        <w:t>
      5. Monitoring of the State Guaranteed Export Support Obligation shall consist in tracking the volume of obligations under insurance and guarantee contracts secured by the State Guarantee on the basis of provision by the attorney (agent) of monthly information on the status of the volume of accepted insurance and guarantee obligations secured by the State Guarantee and insurance and guarantee payments made, according to Annexes 1 and 3 to these Rules.</w:t>
      </w:r>
    </w:p>
    <w:p>
      <w:pPr>
        <w:spacing w:after="0"/>
        <w:ind w:left="0"/>
        <w:jc w:val="both"/>
      </w:pPr>
      <w:r>
        <w:rPr>
          <w:rFonts w:ascii="Times New Roman"/>
          <w:b w:val="false"/>
          <w:i w:val="false"/>
          <w:color w:val="000000"/>
          <w:sz w:val="28"/>
        </w:rPr>
        <w:t>
      The data of the attorney (agent) shall be formed on the basis of this clause and information on the status of the volume of accepted insurance and guarantee liabilities and insurance and guarantee payments made, according to Annexes 2 and 4 to these Rules.</w:t>
      </w:r>
    </w:p>
    <w:p>
      <w:pPr>
        <w:spacing w:after="0"/>
        <w:ind w:left="0"/>
        <w:jc w:val="both"/>
      </w:pPr>
      <w:r>
        <w:rPr>
          <w:rFonts w:ascii="Times New Roman"/>
          <w:b w:val="false"/>
          <w:i w:val="false"/>
          <w:color w:val="000000"/>
          <w:sz w:val="28"/>
        </w:rPr>
        <w:t>
      Based on the results of monitoring, the authorized body on budget execution shall provide information on the status of the state-guaranteed obligation on export support to the Government of the Republic of Kazakhstan on a quarterly basis within the period until the 30th (thirtieth) day of the month following the reporting quarter.</w:t>
      </w:r>
    </w:p>
    <w:p>
      <w:pPr>
        <w:spacing w:after="0"/>
        <w:ind w:left="0"/>
        <w:jc w:val="left"/>
      </w:pPr>
      <w:r>
        <w:rPr>
          <w:rFonts w:ascii="Times New Roman"/>
          <w:b/>
          <w:i w:val="false"/>
          <w:color w:val="000000"/>
        </w:rPr>
        <w:t xml:space="preserve"> Paragraph 2: Procedure for monitoring the financial condition of the agency holding the state guarantee</w:t>
      </w:r>
    </w:p>
    <w:bookmarkStart w:name="z46" w:id="12"/>
    <w:p>
      <w:pPr>
        <w:spacing w:after="0"/>
        <w:ind w:left="0"/>
        <w:jc w:val="both"/>
      </w:pPr>
      <w:r>
        <w:rPr>
          <w:rFonts w:ascii="Times New Roman"/>
          <w:b w:val="false"/>
          <w:i w:val="false"/>
          <w:color w:val="000000"/>
          <w:sz w:val="28"/>
        </w:rPr>
        <w:t>
      6. This Chapter shall define the procedures for monitoring the financial condition of the Agency holding the State Guarantee.</w:t>
      </w:r>
    </w:p>
    <w:bookmarkEnd w:id="12"/>
    <w:p>
      <w:pPr>
        <w:spacing w:after="0"/>
        <w:ind w:left="0"/>
        <w:jc w:val="both"/>
      </w:pPr>
      <w:r>
        <w:rPr>
          <w:rFonts w:ascii="Times New Roman"/>
          <w:b w:val="false"/>
          <w:i w:val="false"/>
          <w:color w:val="000000"/>
          <w:sz w:val="28"/>
        </w:rPr>
        <w:t>
      7. Financial ratios shall be calculated by the attorney (agent) based on the financial statements of the Agency that received the State Guarantee.</w:t>
      </w:r>
    </w:p>
    <w:p>
      <w:pPr>
        <w:spacing w:after="0"/>
        <w:ind w:left="0"/>
        <w:jc w:val="both"/>
      </w:pPr>
      <w:r>
        <w:rPr>
          <w:rFonts w:ascii="Times New Roman"/>
          <w:b w:val="false"/>
          <w:i w:val="false"/>
          <w:color w:val="000000"/>
          <w:sz w:val="28"/>
        </w:rPr>
        <w:t xml:space="preserve">
      8. The Agency's financial condition shall be monitored on the basis of annual audited financial statements. </w:t>
      </w:r>
    </w:p>
    <w:p>
      <w:pPr>
        <w:spacing w:after="0"/>
        <w:ind w:left="0"/>
        <w:jc w:val="both"/>
      </w:pPr>
      <w:r>
        <w:rPr>
          <w:rFonts w:ascii="Times New Roman"/>
          <w:b w:val="false"/>
          <w:i w:val="false"/>
          <w:color w:val="000000"/>
          <w:sz w:val="28"/>
        </w:rPr>
        <w:t>
      9. The Agency's financial condition analysis shall include quarterly financial condition analysis and year-end financial condition analysis. The financial condition analysis consists of analyzing basic (information on the legal entity's management, activities, industry and regulatory environment) and financial information (analysis of financial statements).</w:t>
      </w:r>
    </w:p>
    <w:p>
      <w:pPr>
        <w:spacing w:after="0"/>
        <w:ind w:left="0"/>
        <w:jc w:val="both"/>
      </w:pPr>
      <w:r>
        <w:rPr>
          <w:rFonts w:ascii="Times New Roman"/>
          <w:b w:val="false"/>
          <w:i w:val="false"/>
          <w:color w:val="000000"/>
          <w:sz w:val="28"/>
        </w:rPr>
        <w:t>
      The following financial ratios shall be used in monitoring:</w:t>
      </w:r>
    </w:p>
    <w:p>
      <w:pPr>
        <w:spacing w:after="0"/>
        <w:ind w:left="0"/>
        <w:jc w:val="both"/>
      </w:pPr>
      <w:r>
        <w:rPr>
          <w:rFonts w:ascii="Times New Roman"/>
          <w:b w:val="false"/>
          <w:i w:val="false"/>
          <w:color w:val="000000"/>
          <w:sz w:val="28"/>
        </w:rPr>
        <w:t>
      liquidity ratio - the ratio of cash and short-term receivables to short-term liabilities;</w:t>
      </w:r>
    </w:p>
    <w:p>
      <w:pPr>
        <w:spacing w:after="0"/>
        <w:ind w:left="0"/>
        <w:jc w:val="both"/>
      </w:pPr>
      <w:r>
        <w:rPr>
          <w:rFonts w:ascii="Times New Roman"/>
          <w:b w:val="false"/>
          <w:i w:val="false"/>
          <w:color w:val="000000"/>
          <w:sz w:val="28"/>
        </w:rPr>
        <w:t>
      coverage ratio - the ratio of current assets to short-term liabilities;</w:t>
      </w:r>
    </w:p>
    <w:p>
      <w:pPr>
        <w:spacing w:after="0"/>
        <w:ind w:left="0"/>
        <w:jc w:val="both"/>
      </w:pPr>
      <w:r>
        <w:rPr>
          <w:rFonts w:ascii="Times New Roman"/>
          <w:b w:val="false"/>
          <w:i w:val="false"/>
          <w:color w:val="000000"/>
          <w:sz w:val="28"/>
        </w:rPr>
        <w:t>
      debt to equity ratio - the ratio of current liabilities to equity capital;</w:t>
      </w:r>
    </w:p>
    <w:p>
      <w:pPr>
        <w:spacing w:after="0"/>
        <w:ind w:left="0"/>
        <w:jc w:val="both"/>
      </w:pPr>
      <w:r>
        <w:rPr>
          <w:rFonts w:ascii="Times New Roman"/>
          <w:b w:val="false"/>
          <w:i w:val="false"/>
          <w:color w:val="000000"/>
          <w:sz w:val="28"/>
        </w:rPr>
        <w:t>
      attraction ratio - ratio of liabilities to the sum of current and long-term assets;</w:t>
      </w:r>
    </w:p>
    <w:p>
      <w:pPr>
        <w:spacing w:after="0"/>
        <w:ind w:left="0"/>
        <w:jc w:val="both"/>
      </w:pPr>
      <w:r>
        <w:rPr>
          <w:rFonts w:ascii="Times New Roman"/>
          <w:b w:val="false"/>
          <w:i w:val="false"/>
          <w:color w:val="000000"/>
          <w:sz w:val="28"/>
        </w:rPr>
        <w:t>
      return on equity ratio - ratio of total income before tax to the amount of equity capital.</w:t>
      </w:r>
    </w:p>
    <w:p>
      <w:pPr>
        <w:spacing w:after="0"/>
        <w:ind w:left="0"/>
        <w:jc w:val="both"/>
      </w:pPr>
      <w:r>
        <w:rPr>
          <w:rFonts w:ascii="Times New Roman"/>
          <w:b w:val="false"/>
          <w:i w:val="false"/>
          <w:color w:val="000000"/>
          <w:sz w:val="28"/>
        </w:rPr>
        <w:t>
      10. The Attorney (agent) shall monitor the Agency's financial condition by comparing the financial ratios determined on the basis of the indicators provided and the generally accepted norms of these ratios.</w:t>
      </w:r>
    </w:p>
    <w:p>
      <w:pPr>
        <w:spacing w:after="0"/>
        <w:ind w:left="0"/>
        <w:jc w:val="both"/>
      </w:pPr>
      <w:r>
        <w:rPr>
          <w:rFonts w:ascii="Times New Roman"/>
          <w:b w:val="false"/>
          <w:i w:val="false"/>
          <w:color w:val="000000"/>
          <w:sz w:val="28"/>
        </w:rPr>
        <w:t>
      11. The Attorney (agent) shall submit the results of the analysis to the authorized budget execution body on a quarterly basis by the 25th (twenty-fifth) day of the second month following the reporting month, as well as on an annual basis by July 1, the results of the Agency's financial condition monitoring.</w:t>
      </w:r>
    </w:p>
    <w:p>
      <w:pPr>
        <w:spacing w:after="0"/>
        <w:ind w:left="0"/>
        <w:jc w:val="both"/>
      </w:pPr>
      <w:r>
        <w:rPr>
          <w:rFonts w:ascii="Times New Roman"/>
          <w:b w:val="false"/>
          <w:i w:val="false"/>
          <w:color w:val="000000"/>
          <w:sz w:val="28"/>
        </w:rPr>
        <w:t>
      12. In case of determination of potential insolvency of the Agency, the authorized body on budget execution shall notify the Government of the Republic of Kazakhstan and make a proposal on taking measures to prevent diversion of the republican budget funds envisaged for repayment of debts on insurance and guarantee payments.</w:t>
      </w:r>
    </w:p>
    <w:p>
      <w:pPr>
        <w:spacing w:after="0"/>
        <w:ind w:left="0"/>
        <w:jc w:val="both"/>
      </w:pPr>
      <w:r>
        <w:rPr>
          <w:rFonts w:ascii="Times New Roman"/>
          <w:b w:val="false"/>
          <w:i w:val="false"/>
          <w:color w:val="000000"/>
          <w:sz w:val="28"/>
        </w:rPr>
        <w:t>
      13. If necessary, the authorized body on budget execution shall request from the Agency additional information on financial indicators.</w:t>
      </w:r>
    </w:p>
    <w:p>
      <w:pPr>
        <w:spacing w:after="0"/>
        <w:ind w:left="0"/>
        <w:jc w:val="left"/>
      </w:pPr>
      <w:r>
        <w:rPr>
          <w:rFonts w:ascii="Times New Roman"/>
          <w:b/>
          <w:i w:val="false"/>
          <w:color w:val="000000"/>
        </w:rPr>
        <w:t xml:space="preserve"> Paragraph 3: The main functions performed by the participants of the process of monitoring the state-guaranteed obligation to support exports and the financial condition of the Export Credit Agency of Kazakhstan, having the State Guarantee</w:t>
      </w:r>
    </w:p>
    <w:bookmarkStart w:name="z61" w:id="13"/>
    <w:p>
      <w:pPr>
        <w:spacing w:after="0"/>
        <w:ind w:left="0"/>
        <w:jc w:val="both"/>
      </w:pPr>
      <w:r>
        <w:rPr>
          <w:rFonts w:ascii="Times New Roman"/>
          <w:b w:val="false"/>
          <w:i w:val="false"/>
          <w:color w:val="000000"/>
          <w:sz w:val="28"/>
        </w:rPr>
        <w:t>
      14. The authorized body on budget execution, the attorney (agent) and the Agency are participants in the process of monitoring, state-guaranteed obligation on export support and financial condition of the Export Credit Agency of Kazakhstan, which has a state guarantee on export support, and shall carry out the following:</w:t>
      </w:r>
    </w:p>
    <w:bookmarkEnd w:id="13"/>
    <w:p>
      <w:pPr>
        <w:spacing w:after="0"/>
        <w:ind w:left="0"/>
        <w:jc w:val="both"/>
      </w:pPr>
      <w:r>
        <w:rPr>
          <w:rFonts w:ascii="Times New Roman"/>
          <w:b w:val="false"/>
          <w:i w:val="false"/>
          <w:color w:val="000000"/>
          <w:sz w:val="28"/>
        </w:rPr>
        <w:t xml:space="preserve">
      1) The Agency shall: </w:t>
      </w:r>
    </w:p>
    <w:p>
      <w:pPr>
        <w:spacing w:after="0"/>
        <w:ind w:left="0"/>
        <w:jc w:val="both"/>
      </w:pPr>
      <w:r>
        <w:rPr>
          <w:rFonts w:ascii="Times New Roman"/>
          <w:b w:val="false"/>
          <w:i w:val="false"/>
          <w:color w:val="000000"/>
          <w:sz w:val="28"/>
        </w:rPr>
        <w:t>
      ensure provision of necessary documentation and information required by the participants of the State Guarantee provision process and in accordance with the requirements of these Rules;</w:t>
      </w:r>
    </w:p>
    <w:p>
      <w:pPr>
        <w:spacing w:after="0"/>
        <w:ind w:left="0"/>
        <w:jc w:val="both"/>
      </w:pPr>
      <w:r>
        <w:rPr>
          <w:rFonts w:ascii="Times New Roman"/>
          <w:b w:val="false"/>
          <w:i w:val="false"/>
          <w:color w:val="000000"/>
          <w:sz w:val="28"/>
        </w:rPr>
        <w:t>
      monthly provide the Attorney (Agent) with financial statements according to standard forms (balance sheet and profit and loss statement) with cumulative total and other necessary documents determining the financial condition of the Agency upon written request of the Attorney (Agent);</w:t>
      </w:r>
    </w:p>
    <w:p>
      <w:pPr>
        <w:spacing w:after="0"/>
        <w:ind w:left="0"/>
        <w:jc w:val="both"/>
      </w:pPr>
      <w:r>
        <w:rPr>
          <w:rFonts w:ascii="Times New Roman"/>
          <w:b w:val="false"/>
          <w:i w:val="false"/>
          <w:color w:val="000000"/>
          <w:sz w:val="28"/>
        </w:rPr>
        <w:t>
      not later than the 25th (twenty-fifth) day following the reporting quarter, provides the Attorney (Agent) with quarterly financial statements according to standard forms (balance sheet, profit and loss statement, cash flow statement, explanatory note) with cumulative total and other documents determining the financial condition of the Agency upon written request of the Attorney (Agent);</w:t>
      </w:r>
    </w:p>
    <w:p>
      <w:pPr>
        <w:spacing w:after="0"/>
        <w:ind w:left="0"/>
        <w:jc w:val="both"/>
      </w:pPr>
      <w:r>
        <w:rPr>
          <w:rFonts w:ascii="Times New Roman"/>
          <w:b w:val="false"/>
          <w:i w:val="false"/>
          <w:color w:val="000000"/>
          <w:sz w:val="28"/>
        </w:rPr>
        <w:t>
      not later than May 31 (thirty-first) of each year following the reporting year, annually provide the attorney (agent) with audited financial statements according to standard forms (balance sheet, profit and loss statement, cash flow statement, explanatory note for the financial year);</w:t>
      </w:r>
    </w:p>
    <w:p>
      <w:pPr>
        <w:spacing w:after="0"/>
        <w:ind w:left="0"/>
        <w:jc w:val="both"/>
      </w:pPr>
      <w:r>
        <w:rPr>
          <w:rFonts w:ascii="Times New Roman"/>
          <w:b w:val="false"/>
          <w:i w:val="false"/>
          <w:color w:val="000000"/>
          <w:sz w:val="28"/>
        </w:rPr>
        <w:t>
      inform the attorney (agent) of the facts and reasons for non-fulfillment of its obligations under the insurance and guarantee contracts, which may lead to the fulfillment of the State Guarantee;</w:t>
      </w:r>
    </w:p>
    <w:p>
      <w:pPr>
        <w:spacing w:after="0"/>
        <w:ind w:left="0"/>
        <w:jc w:val="both"/>
      </w:pPr>
      <w:r>
        <w:rPr>
          <w:rFonts w:ascii="Times New Roman"/>
          <w:b w:val="false"/>
          <w:i w:val="false"/>
          <w:color w:val="000000"/>
          <w:sz w:val="28"/>
        </w:rPr>
        <w:t>
      ensure the return of diverted funds for the execution of the State Guarantee by transferring them to the special loan account;</w:t>
      </w:r>
    </w:p>
    <w:p>
      <w:pPr>
        <w:spacing w:after="0"/>
        <w:ind w:left="0"/>
        <w:jc w:val="both"/>
      </w:pPr>
      <w:r>
        <w:rPr>
          <w:rFonts w:ascii="Times New Roman"/>
          <w:b w:val="false"/>
          <w:i w:val="false"/>
          <w:color w:val="000000"/>
          <w:sz w:val="28"/>
        </w:rPr>
        <w:t>
      2) authorized body for budget execution shall:</w:t>
      </w:r>
    </w:p>
    <w:p>
      <w:pPr>
        <w:spacing w:after="0"/>
        <w:ind w:left="0"/>
        <w:jc w:val="both"/>
      </w:pPr>
      <w:r>
        <w:rPr>
          <w:rFonts w:ascii="Times New Roman"/>
          <w:b w:val="false"/>
          <w:i w:val="false"/>
          <w:color w:val="000000"/>
          <w:sz w:val="28"/>
        </w:rPr>
        <w:t>
      monitor the State Guaranteed Export Support Obligation in accordance with the procedure determined by these Rules;</w:t>
      </w:r>
    </w:p>
    <w:p>
      <w:pPr>
        <w:spacing w:after="0"/>
        <w:ind w:left="0"/>
        <w:jc w:val="both"/>
      </w:pPr>
      <w:r>
        <w:rPr>
          <w:rFonts w:ascii="Times New Roman"/>
          <w:b w:val="false"/>
          <w:i w:val="false"/>
          <w:color w:val="000000"/>
          <w:sz w:val="28"/>
        </w:rPr>
        <w:t>
      3) attorney (agent) shall:</w:t>
      </w:r>
    </w:p>
    <w:p>
      <w:pPr>
        <w:spacing w:after="0"/>
        <w:ind w:left="0"/>
        <w:jc w:val="both"/>
      </w:pPr>
      <w:r>
        <w:rPr>
          <w:rFonts w:ascii="Times New Roman"/>
          <w:b w:val="false"/>
          <w:i w:val="false"/>
          <w:color w:val="000000"/>
          <w:sz w:val="28"/>
        </w:rPr>
        <w:t>
      monitor the financial condition of the Agency holding the State Guarantee;</w:t>
      </w:r>
    </w:p>
    <w:p>
      <w:pPr>
        <w:spacing w:after="0"/>
        <w:ind w:left="0"/>
        <w:jc w:val="both"/>
      </w:pPr>
      <w:r>
        <w:rPr>
          <w:rFonts w:ascii="Times New Roman"/>
          <w:b w:val="false"/>
          <w:i w:val="false"/>
          <w:color w:val="000000"/>
          <w:sz w:val="28"/>
        </w:rPr>
        <w:t>
      monitor the use of the republican budget funds allocated for the execution of the State Guarantee and their repayment in accordance with the terms and conditions of the agreement on granting the State Guarantee;</w:t>
      </w:r>
    </w:p>
    <w:p>
      <w:pPr>
        <w:spacing w:after="0"/>
        <w:ind w:left="0"/>
        <w:jc w:val="both"/>
      </w:pPr>
      <w:r>
        <w:rPr>
          <w:rFonts w:ascii="Times New Roman"/>
          <w:b w:val="false"/>
          <w:i w:val="false"/>
          <w:color w:val="000000"/>
          <w:sz w:val="28"/>
        </w:rPr>
        <w:t>
      analyze the financial and economic condition of the Agency and provides information on the results of the respective analysis to the authorized body in charge of budget execution;</w:t>
      </w:r>
    </w:p>
    <w:p>
      <w:pPr>
        <w:spacing w:after="0"/>
        <w:ind w:left="0"/>
        <w:jc w:val="both"/>
      </w:pPr>
      <w:r>
        <w:rPr>
          <w:rFonts w:ascii="Times New Roman"/>
          <w:b w:val="false"/>
          <w:i w:val="false"/>
          <w:color w:val="000000"/>
          <w:sz w:val="28"/>
        </w:rPr>
        <w:t>
      on the basis of the agreement on the provision of the State Guarantee on export support ensures the execution of other works related to the provision and execution of the State Guarantee.</w:t>
      </w:r>
    </w:p>
    <w:p>
      <w:pPr>
        <w:spacing w:after="0"/>
        <w:ind w:left="0"/>
        <w:jc w:val="both"/>
      </w:pPr>
      <w:r>
        <w:rPr>
          <w:rFonts w:ascii="Times New Roman"/>
          <w:b w:val="false"/>
          <w:i w:val="false"/>
          <w:color w:val="000000"/>
          <w:sz w:val="28"/>
        </w:rPr>
        <w:t>
      15. Payment to the attorney (agent) for rendering the services provided for by subparagraph 3) of paragraph 14 of these Rules shall be made in accordance with the agreement on granting the state guarantee on export support by the Agency at its own expense on the basis of the agreement on payment for the services of the attorney (agent) according to its tariffs, concluded between the Agency and the attorney (agent).</w:t>
      </w:r>
    </w:p>
    <w:p>
      <w:pPr>
        <w:spacing w:after="0"/>
        <w:ind w:left="0"/>
        <w:jc w:val="both"/>
      </w:pPr>
      <w:r>
        <w:rPr>
          <w:rFonts w:ascii="Times New Roman"/>
          <w:b w:val="false"/>
          <w:i w:val="false"/>
          <w:color w:val="000000"/>
          <w:sz w:val="28"/>
        </w:rPr>
        <w:t>
      16. If the volume of insurance and guarantee payments made during the reporting period (financial year) exceeds 40 (forty) percent of the Agency's equity capital, the Agency is not allowed to assume additional obligations under insurance and guarantee agreements. In this case, the volume of insurance and guarantee payments shall be indicated minus the amount of insurance and guarantee payments reimbursed under subrogation, reinsurance and guaranteeing.</w:t>
      </w:r>
    </w:p>
    <w:p>
      <w:pPr>
        <w:spacing w:after="0"/>
        <w:ind w:left="0"/>
        <w:jc w:val="both"/>
      </w:pPr>
      <w:r>
        <w:rPr>
          <w:rFonts w:ascii="Times New Roman"/>
          <w:b w:val="false"/>
          <w:i w:val="false"/>
          <w:color w:val="000000"/>
          <w:sz w:val="28"/>
        </w:rPr>
        <w:t>
      17. The Agency shall provide the Attorney (agent) with information on the socio-economic effect of the final results under the existing insurance and guarantee contracts as of the last date of the reporting quarter secured by the State Guarantee on a quarterly basis by the thirtieth (30th) day of the second month following the reporting quarter, according to Annex 5 to these Rules.</w:t>
      </w:r>
    </w:p>
    <w:p>
      <w:pPr>
        <w:spacing w:after="0"/>
        <w:ind w:left="0"/>
        <w:jc w:val="both"/>
      </w:pPr>
      <w:r>
        <w:rPr>
          <w:rFonts w:ascii="Times New Roman"/>
          <w:b w:val="false"/>
          <w:i w:val="false"/>
          <w:color w:val="000000"/>
          <w:sz w:val="28"/>
        </w:rPr>
        <w:t>
      The Attorney (agent) shall provide the authorized body for budget execution with information on the socio-economic effect of the final results under the existing insurance and guarantee contracts within 7 (seven) days after the information is provided by the Agency.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conducting</w:t>
            </w:r>
            <w:r>
              <w:br/>
            </w:r>
            <w:r>
              <w:rPr>
                <w:rFonts w:ascii="Times New Roman"/>
                <w:b w:val="false"/>
                <w:i w:val="false"/>
                <w:color w:val="000000"/>
                <w:sz w:val="20"/>
              </w:rPr>
              <w:t>monitoring of the guaranteed</w:t>
            </w:r>
            <w:r>
              <w:br/>
            </w:r>
            <w:r>
              <w:rPr>
                <w:rFonts w:ascii="Times New Roman"/>
                <w:b w:val="false"/>
                <w:i w:val="false"/>
                <w:color w:val="000000"/>
                <w:sz w:val="20"/>
              </w:rPr>
              <w:t>state obligation</w:t>
            </w:r>
            <w:r>
              <w:br/>
            </w:r>
            <w:r>
              <w:rPr>
                <w:rFonts w:ascii="Times New Roman"/>
                <w:b w:val="false"/>
                <w:i w:val="false"/>
                <w:color w:val="000000"/>
                <w:sz w:val="20"/>
              </w:rPr>
              <w:t>on export support</w:t>
            </w:r>
            <w:r>
              <w:br/>
            </w:r>
            <w:r>
              <w:rPr>
                <w:rFonts w:ascii="Times New Roman"/>
                <w:b w:val="false"/>
                <w:i w:val="false"/>
                <w:color w:val="000000"/>
                <w:sz w:val="20"/>
              </w:rPr>
              <w:t>and financial condition</w:t>
            </w:r>
            <w:r>
              <w:br/>
            </w:r>
            <w:r>
              <w:rPr>
                <w:rFonts w:ascii="Times New Roman"/>
                <w:b w:val="false"/>
                <w:i w:val="false"/>
                <w:color w:val="000000"/>
                <w:sz w:val="20"/>
              </w:rPr>
              <w:t>Export Credit Agency</w:t>
            </w:r>
            <w:r>
              <w:br/>
            </w:r>
            <w:r>
              <w:rPr>
                <w:rFonts w:ascii="Times New Roman"/>
                <w:b w:val="false"/>
                <w:i w:val="false"/>
                <w:color w:val="000000"/>
                <w:sz w:val="20"/>
              </w:rPr>
              <w:t>of the Republic of Kazakhstan, which has</w:t>
            </w:r>
            <w:r>
              <w:br/>
            </w:r>
            <w:r>
              <w:rPr>
                <w:rFonts w:ascii="Times New Roman"/>
                <w:b w:val="false"/>
                <w:i w:val="false"/>
                <w:color w:val="000000"/>
                <w:sz w:val="20"/>
              </w:rPr>
              <w:t>state guarantee</w:t>
            </w:r>
            <w:r>
              <w:br/>
            </w:r>
            <w:r>
              <w:rPr>
                <w:rFonts w:ascii="Times New Roman"/>
                <w:b w:val="false"/>
                <w:i w:val="false"/>
                <w:color w:val="000000"/>
                <w:sz w:val="20"/>
              </w:rPr>
              <w:t>on export support</w:t>
            </w:r>
          </w:p>
        </w:tc>
      </w:tr>
    </w:tbl>
    <w:bookmarkStart w:name="z82" w:id="14"/>
    <w:p>
      <w:pPr>
        <w:spacing w:after="0"/>
        <w:ind w:left="0"/>
        <w:jc w:val="left"/>
      </w:pPr>
      <w:r>
        <w:rPr>
          <w:rFonts w:ascii="Times New Roman"/>
          <w:b/>
          <w:i w:val="false"/>
          <w:color w:val="000000"/>
        </w:rPr>
        <w:t xml:space="preserve"> Information on the status of the volume of accepted insurance and guarantee liabilities secured by the State Guarantee</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in KZT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Commitments at the beginning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reporting period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at the end of the reporting period (column 6 = column 3 + column 4 - column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assumed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Discontinued liabilities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in local currency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liabilities,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 rubles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United States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Equity at the end of the reporting period - _______ thousand tenge</w:t>
      </w:r>
    </w:p>
    <w:p>
      <w:pPr>
        <w:spacing w:after="0"/>
        <w:ind w:left="0"/>
        <w:jc w:val="both"/>
      </w:pPr>
      <w:r>
        <w:rPr>
          <w:rFonts w:ascii="Times New Roman"/>
          <w:b w:val="false"/>
          <w:i w:val="false"/>
          <w:color w:val="000000"/>
          <w:sz w:val="28"/>
        </w:rPr>
        <w:t>
      The number of obligations secured by the State Guarantee,</w:t>
      </w:r>
    </w:p>
    <w:p>
      <w:pPr>
        <w:spacing w:after="0"/>
        <w:ind w:left="0"/>
        <w:jc w:val="both"/>
      </w:pPr>
      <w:r>
        <w:rPr>
          <w:rFonts w:ascii="Times New Roman"/>
          <w:b w:val="false"/>
          <w:i w:val="false"/>
          <w:color w:val="000000"/>
          <w:sz w:val="28"/>
        </w:rPr>
        <w:t xml:space="preserve">
      at the end of the reporting period - _____ KZT thousand </w:t>
      </w:r>
    </w:p>
    <w:p>
      <w:pPr>
        <w:spacing w:after="0"/>
        <w:ind w:left="0"/>
        <w:jc w:val="both"/>
      </w:pPr>
      <w:r>
        <w:rPr>
          <w:rFonts w:ascii="Times New Roman"/>
          <w:b w:val="false"/>
          <w:i w:val="false"/>
          <w:color w:val="000000"/>
          <w:sz w:val="28"/>
        </w:rPr>
        <w:t>
      _____________________ _________ ______________________________</w:t>
      </w:r>
    </w:p>
    <w:p>
      <w:pPr>
        <w:spacing w:after="0"/>
        <w:ind w:left="0"/>
        <w:jc w:val="both"/>
      </w:pPr>
      <w:r>
        <w:rPr>
          <w:rFonts w:ascii="Times New Roman"/>
          <w:b w:val="false"/>
          <w:i w:val="false"/>
          <w:color w:val="000000"/>
          <w:sz w:val="28"/>
        </w:rPr>
        <w:t>
      first manager signature surname, name, patronymic (if any)</w:t>
      </w:r>
    </w:p>
    <w:p>
      <w:pPr>
        <w:spacing w:after="0"/>
        <w:ind w:left="0"/>
        <w:jc w:val="both"/>
      </w:pPr>
      <w:r>
        <w:rPr>
          <w:rFonts w:ascii="Times New Roman"/>
          <w:b w:val="false"/>
          <w:i w:val="false"/>
          <w:color w:val="000000"/>
          <w:sz w:val="28"/>
        </w:rPr>
        <w:t>
      _____________ _______ __________ _______________________________</w:t>
      </w:r>
    </w:p>
    <w:p>
      <w:pPr>
        <w:spacing w:after="0"/>
        <w:ind w:left="0"/>
        <w:jc w:val="both"/>
      </w:pPr>
      <w:r>
        <w:rPr>
          <w:rFonts w:ascii="Times New Roman"/>
          <w:b w:val="false"/>
          <w:i w:val="false"/>
          <w:color w:val="000000"/>
          <w:sz w:val="28"/>
        </w:rPr>
        <w:t>
      chief accountant signature surname, first name, patronymic (if any)</w:t>
      </w:r>
    </w:p>
    <w:p>
      <w:pPr>
        <w:spacing w:after="0"/>
        <w:ind w:left="0"/>
        <w:jc w:val="both"/>
      </w:pPr>
      <w:r>
        <w:rPr>
          <w:rFonts w:ascii="Times New Roman"/>
          <w:b w:val="false"/>
          <w:i w:val="false"/>
          <w:color w:val="000000"/>
          <w:sz w:val="28"/>
        </w:rPr>
        <w:t>
      _______________________ ________ _______________________________</w:t>
      </w:r>
    </w:p>
    <w:p>
      <w:pPr>
        <w:spacing w:after="0"/>
        <w:ind w:left="0"/>
        <w:jc w:val="both"/>
      </w:pPr>
      <w:r>
        <w:rPr>
          <w:rFonts w:ascii="Times New Roman"/>
          <w:b w:val="false"/>
          <w:i w:val="false"/>
          <w:color w:val="000000"/>
          <w:sz w:val="28"/>
        </w:rPr>
        <w:t>
      responsible executive signature surname, name, patronymic (if any)</w:t>
      </w:r>
    </w:p>
    <w:p>
      <w:pPr>
        <w:spacing w:after="0"/>
        <w:ind w:left="0"/>
        <w:jc w:val="both"/>
      </w:pPr>
      <w:r>
        <w:rPr>
          <w:rFonts w:ascii="Times New Roman"/>
          <w:b w:val="false"/>
          <w:i w:val="false"/>
          <w:color w:val="000000"/>
          <w:sz w:val="28"/>
        </w:rPr>
        <w:t>
      phone number of the attorney (agent) 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report shall be prepared monthly until the 20th (twentieth) day of the month,</w:t>
      </w:r>
    </w:p>
    <w:p>
      <w:pPr>
        <w:spacing w:after="0"/>
        <w:ind w:left="0"/>
        <w:jc w:val="both"/>
      </w:pPr>
      <w:r>
        <w:rPr>
          <w:rFonts w:ascii="Times New Roman"/>
          <w:b w:val="false"/>
          <w:i w:val="false"/>
          <w:color w:val="000000"/>
          <w:sz w:val="28"/>
        </w:rPr>
        <w:t xml:space="preserve">
      following the reporting period, separately for each line in KZT thousand </w:t>
      </w:r>
    </w:p>
    <w:p>
      <w:pPr>
        <w:spacing w:after="0"/>
        <w:ind w:left="0"/>
        <w:jc w:val="both"/>
      </w:pPr>
      <w:r>
        <w:rPr>
          <w:rFonts w:ascii="Times New Roman"/>
          <w:b w:val="false"/>
          <w:i w:val="false"/>
          <w:color w:val="000000"/>
          <w:sz w:val="28"/>
        </w:rPr>
        <w:t>
      with summing up the final line "Total" for all columns in thousand tenge.</w:t>
      </w:r>
    </w:p>
    <w:p>
      <w:pPr>
        <w:spacing w:after="0"/>
        <w:ind w:left="0"/>
        <w:jc w:val="both"/>
      </w:pPr>
      <w:r>
        <w:rPr>
          <w:rFonts w:ascii="Times New Roman"/>
          <w:b w:val="false"/>
          <w:i w:val="false"/>
          <w:color w:val="000000"/>
          <w:sz w:val="28"/>
        </w:rPr>
        <w:t>
      Bringing indicators to KZT</w:t>
      </w:r>
    </w:p>
    <w:p>
      <w:pPr>
        <w:spacing w:after="0"/>
        <w:ind w:left="0"/>
        <w:jc w:val="both"/>
      </w:pPr>
      <w:r>
        <w:rPr>
          <w:rFonts w:ascii="Times New Roman"/>
          <w:b w:val="false"/>
          <w:i w:val="false"/>
          <w:color w:val="000000"/>
          <w:sz w:val="28"/>
        </w:rPr>
        <w:t>
      Shall be made at market exchange rates determined in the order,</w:t>
      </w:r>
    </w:p>
    <w:p>
      <w:pPr>
        <w:spacing w:after="0"/>
        <w:ind w:left="0"/>
        <w:jc w:val="both"/>
      </w:pPr>
      <w:r>
        <w:rPr>
          <w:rFonts w:ascii="Times New Roman"/>
          <w:b w:val="false"/>
          <w:i w:val="false"/>
          <w:color w:val="000000"/>
          <w:sz w:val="28"/>
        </w:rPr>
        <w:t>
      established by the Law of the Republic of Kazakhstan "On the National Bank,"</w:t>
      </w:r>
    </w:p>
    <w:p>
      <w:pPr>
        <w:spacing w:after="0"/>
        <w:ind w:left="0"/>
        <w:jc w:val="both"/>
      </w:pPr>
      <w:r>
        <w:rPr>
          <w:rFonts w:ascii="Times New Roman"/>
          <w:b w:val="false"/>
          <w:i w:val="false"/>
          <w:color w:val="000000"/>
          <w:sz w:val="28"/>
        </w:rPr>
        <w:t>
      on the last calendar day of the reporting period.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conducting</w:t>
            </w:r>
            <w:r>
              <w:br/>
            </w:r>
            <w:r>
              <w:rPr>
                <w:rFonts w:ascii="Times New Roman"/>
                <w:b w:val="false"/>
                <w:i w:val="false"/>
                <w:color w:val="000000"/>
                <w:sz w:val="20"/>
              </w:rPr>
              <w:t>of monitoring of the guaranteed</w:t>
            </w:r>
            <w:r>
              <w:br/>
            </w:r>
            <w:r>
              <w:rPr>
                <w:rFonts w:ascii="Times New Roman"/>
                <w:b w:val="false"/>
                <w:i w:val="false"/>
                <w:color w:val="000000"/>
                <w:sz w:val="20"/>
              </w:rPr>
              <w:t>state obligation</w:t>
            </w:r>
            <w:r>
              <w:br/>
            </w:r>
            <w:r>
              <w:rPr>
                <w:rFonts w:ascii="Times New Roman"/>
                <w:b w:val="false"/>
                <w:i w:val="false"/>
                <w:color w:val="000000"/>
                <w:sz w:val="20"/>
              </w:rPr>
              <w:t>on export support</w:t>
            </w:r>
            <w:r>
              <w:br/>
            </w:r>
            <w:r>
              <w:rPr>
                <w:rFonts w:ascii="Times New Roman"/>
                <w:b w:val="false"/>
                <w:i w:val="false"/>
                <w:color w:val="000000"/>
                <w:sz w:val="20"/>
              </w:rPr>
              <w:t>and financial condition</w:t>
            </w:r>
            <w:r>
              <w:br/>
            </w:r>
            <w:r>
              <w:rPr>
                <w:rFonts w:ascii="Times New Roman"/>
                <w:b w:val="false"/>
                <w:i w:val="false"/>
                <w:color w:val="000000"/>
                <w:sz w:val="20"/>
              </w:rPr>
              <w:t>Export Credit Agency</w:t>
            </w:r>
            <w:r>
              <w:br/>
            </w:r>
            <w:r>
              <w:rPr>
                <w:rFonts w:ascii="Times New Roman"/>
                <w:b w:val="false"/>
                <w:i w:val="false"/>
                <w:color w:val="000000"/>
                <w:sz w:val="20"/>
              </w:rPr>
              <w:t>of the Republic of Kazakhstan, which has</w:t>
            </w:r>
            <w:r>
              <w:br/>
            </w:r>
            <w:r>
              <w:rPr>
                <w:rFonts w:ascii="Times New Roman"/>
                <w:b w:val="false"/>
                <w:i w:val="false"/>
                <w:color w:val="000000"/>
                <w:sz w:val="20"/>
              </w:rPr>
              <w:t>state guarantee</w:t>
            </w:r>
            <w:r>
              <w:br/>
            </w:r>
            <w:r>
              <w:rPr>
                <w:rFonts w:ascii="Times New Roman"/>
                <w:b w:val="false"/>
                <w:i w:val="false"/>
                <w:color w:val="000000"/>
                <w:sz w:val="20"/>
              </w:rPr>
              <w:t>on export support</w:t>
            </w:r>
          </w:p>
        </w:tc>
      </w:tr>
    </w:tbl>
    <w:p>
      <w:pPr>
        <w:spacing w:after="0"/>
        <w:ind w:left="0"/>
        <w:jc w:val="left"/>
      </w:pPr>
      <w:r>
        <w:rPr>
          <w:rFonts w:ascii="Times New Roman"/>
          <w:b/>
          <w:i w:val="false"/>
          <w:color w:val="000000"/>
        </w:rPr>
        <w:t xml:space="preserve"> Information on the status of the volume of accepted insurance and warranty obligations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in KZT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at the beginning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reporting period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at the end of the reporting period</w:t>
            </w:r>
          </w:p>
          <w:p>
            <w:pPr>
              <w:spacing w:after="20"/>
              <w:ind w:left="20"/>
              <w:jc w:val="both"/>
            </w:pPr>
            <w:r>
              <w:rPr>
                <w:rFonts w:ascii="Times New Roman"/>
                <w:b w:val="false"/>
                <w:i w:val="false"/>
                <w:color w:val="000000"/>
                <w:sz w:val="20"/>
              </w:rPr>
              <w:t>
(Column 6 = column 3 + column 4 - column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assumed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Discontinued liabilities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in national currency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in foreign currency,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 roubles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United States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euros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15"/>
    <w:p>
      <w:pPr>
        <w:spacing w:after="0"/>
        <w:ind w:left="0"/>
        <w:jc w:val="both"/>
      </w:pPr>
      <w:r>
        <w:rPr>
          <w:rFonts w:ascii="Times New Roman"/>
          <w:b w:val="false"/>
          <w:i w:val="false"/>
          <w:color w:val="000000"/>
          <w:sz w:val="28"/>
        </w:rPr>
        <w:t>
      frequency: monthly</w:t>
      </w:r>
    </w:p>
    <w:bookmarkEnd w:id="15"/>
    <w:p>
      <w:pPr>
        <w:spacing w:after="0"/>
        <w:ind w:left="0"/>
        <w:jc w:val="both"/>
      </w:pPr>
      <w:r>
        <w:rPr>
          <w:rFonts w:ascii="Times New Roman"/>
          <w:b w:val="false"/>
          <w:i w:val="false"/>
          <w:color w:val="000000"/>
          <w:sz w:val="28"/>
        </w:rPr>
        <w:t>
      ____________________ _______________ ___________________________</w:t>
      </w:r>
    </w:p>
    <w:p>
      <w:pPr>
        <w:spacing w:after="0"/>
        <w:ind w:left="0"/>
        <w:jc w:val="both"/>
      </w:pPr>
      <w:r>
        <w:rPr>
          <w:rFonts w:ascii="Times New Roman"/>
          <w:b w:val="false"/>
          <w:i w:val="false"/>
          <w:color w:val="000000"/>
          <w:sz w:val="28"/>
        </w:rPr>
        <w:t>
      first manager signature surname, first name, patronymic (if any)</w:t>
      </w:r>
    </w:p>
    <w:p>
      <w:pPr>
        <w:spacing w:after="0"/>
        <w:ind w:left="0"/>
        <w:jc w:val="both"/>
      </w:pPr>
      <w:r>
        <w:rPr>
          <w:rFonts w:ascii="Times New Roman"/>
          <w:b w:val="false"/>
          <w:i w:val="false"/>
          <w:color w:val="000000"/>
          <w:sz w:val="28"/>
        </w:rPr>
        <w:t>
      _____________________ ________________ _________________________</w:t>
      </w:r>
    </w:p>
    <w:p>
      <w:pPr>
        <w:spacing w:after="0"/>
        <w:ind w:left="0"/>
        <w:jc w:val="both"/>
      </w:pPr>
      <w:r>
        <w:rPr>
          <w:rFonts w:ascii="Times New Roman"/>
          <w:b w:val="false"/>
          <w:i w:val="false"/>
          <w:color w:val="000000"/>
          <w:sz w:val="28"/>
        </w:rPr>
        <w:t>
      chief accountant signature surname, first name, patronymic (if available)</w:t>
      </w:r>
    </w:p>
    <w:p>
      <w:pPr>
        <w:spacing w:after="0"/>
        <w:ind w:left="0"/>
        <w:jc w:val="both"/>
      </w:pPr>
      <w:r>
        <w:rPr>
          <w:rFonts w:ascii="Times New Roman"/>
          <w:b w:val="false"/>
          <w:i w:val="false"/>
          <w:color w:val="000000"/>
          <w:sz w:val="28"/>
        </w:rPr>
        <w:t>
      _____________________ _______________ __________________________</w:t>
      </w:r>
    </w:p>
    <w:p>
      <w:pPr>
        <w:spacing w:after="0"/>
        <w:ind w:left="0"/>
        <w:jc w:val="both"/>
      </w:pPr>
      <w:r>
        <w:rPr>
          <w:rFonts w:ascii="Times New Roman"/>
          <w:b w:val="false"/>
          <w:i w:val="false"/>
          <w:color w:val="000000"/>
          <w:sz w:val="28"/>
        </w:rPr>
        <w:t>
      responsible executor signature surname, first name, patronymic (if available)</w:t>
      </w:r>
    </w:p>
    <w:p>
      <w:pPr>
        <w:spacing w:after="0"/>
        <w:ind w:left="0"/>
        <w:jc w:val="both"/>
      </w:pPr>
      <w:r>
        <w:rPr>
          <w:rFonts w:ascii="Times New Roman"/>
          <w:b w:val="false"/>
          <w:i w:val="false"/>
          <w:color w:val="000000"/>
          <w:sz w:val="28"/>
        </w:rPr>
        <w:t>
      phone number</w:t>
      </w:r>
    </w:p>
    <w:p>
      <w:pPr>
        <w:spacing w:after="0"/>
        <w:ind w:left="0"/>
        <w:jc w:val="both"/>
      </w:pPr>
      <w:r>
        <w:rPr>
          <w:rFonts w:ascii="Times New Roman"/>
          <w:b w:val="false"/>
          <w:i w:val="false"/>
          <w:color w:val="000000"/>
          <w:sz w:val="28"/>
        </w:rPr>
        <w:t>
      Export Credit Agency of Kazakhstan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report shall be prepared monthly, by the 15th (fifteenth) day of the month following the reporting period, separately for each line in thousands of tenge with a subheading for each line in thousands of tenge.</w:t>
      </w:r>
    </w:p>
    <w:p>
      <w:pPr>
        <w:spacing w:after="0"/>
        <w:ind w:left="0"/>
        <w:jc w:val="both"/>
      </w:pPr>
      <w:r>
        <w:rPr>
          <w:rFonts w:ascii="Times New Roman"/>
          <w:b w:val="false"/>
          <w:i w:val="false"/>
          <w:color w:val="000000"/>
          <w:sz w:val="28"/>
        </w:rPr>
        <w:t>
      following the reporting period, separately for each line in thousand tenge with summarizing the</w:t>
      </w:r>
    </w:p>
    <w:p>
      <w:pPr>
        <w:spacing w:after="0"/>
        <w:ind w:left="0"/>
        <w:jc w:val="both"/>
      </w:pPr>
      <w:r>
        <w:rPr>
          <w:rFonts w:ascii="Times New Roman"/>
          <w:b w:val="false"/>
          <w:i w:val="false"/>
          <w:color w:val="000000"/>
          <w:sz w:val="28"/>
        </w:rPr>
        <w:t>
      total line “Total” for all columns in thousand tenge. Conversion of indicators</w:t>
      </w:r>
    </w:p>
    <w:p>
      <w:pPr>
        <w:spacing w:after="0"/>
        <w:ind w:left="0"/>
        <w:jc w:val="both"/>
      </w:pPr>
      <w:r>
        <w:rPr>
          <w:rFonts w:ascii="Times New Roman"/>
          <w:b w:val="false"/>
          <w:i w:val="false"/>
          <w:color w:val="000000"/>
          <w:sz w:val="28"/>
        </w:rPr>
        <w:t>
      to KZT shall be made at market exchange rates determined by the Law of the Republic of Kazakhstan “On National Bank of the Republic of Kazakhstan”.</w:t>
      </w:r>
    </w:p>
    <w:p>
      <w:pPr>
        <w:spacing w:after="0"/>
        <w:ind w:left="0"/>
        <w:jc w:val="both"/>
      </w:pPr>
      <w:r>
        <w:rPr>
          <w:rFonts w:ascii="Times New Roman"/>
          <w:b w:val="false"/>
          <w:i w:val="false"/>
          <w:color w:val="000000"/>
          <w:sz w:val="28"/>
        </w:rPr>
        <w:t>
      of the Republic of Kazakhstan “On the National Bank”, as of the last calendar day of the reporting period.</w:t>
      </w:r>
    </w:p>
    <w:p>
      <w:pPr>
        <w:spacing w:after="0"/>
        <w:ind w:left="0"/>
        <w:jc w:val="both"/>
      </w:pPr>
      <w:r>
        <w:rPr>
          <w:rFonts w:ascii="Times New Roman"/>
          <w:b w:val="false"/>
          <w:i w:val="false"/>
          <w:color w:val="000000"/>
          <w:sz w:val="28"/>
        </w:rPr>
        <w:t>
      of the reporting period.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conducting</w:t>
            </w:r>
            <w:r>
              <w:br/>
            </w:r>
            <w:r>
              <w:rPr>
                <w:rFonts w:ascii="Times New Roman"/>
                <w:b w:val="false"/>
                <w:i w:val="false"/>
                <w:color w:val="000000"/>
                <w:sz w:val="20"/>
              </w:rPr>
              <w:t>of monitoring of the guaranteed</w:t>
            </w:r>
            <w:r>
              <w:br/>
            </w:r>
            <w:r>
              <w:rPr>
                <w:rFonts w:ascii="Times New Roman"/>
                <w:b w:val="false"/>
                <w:i w:val="false"/>
                <w:color w:val="000000"/>
                <w:sz w:val="20"/>
              </w:rPr>
              <w:t>state obligation</w:t>
            </w:r>
            <w:r>
              <w:br/>
            </w:r>
            <w:r>
              <w:rPr>
                <w:rFonts w:ascii="Times New Roman"/>
                <w:b w:val="false"/>
                <w:i w:val="false"/>
                <w:color w:val="000000"/>
                <w:sz w:val="20"/>
              </w:rPr>
              <w:t>on export support</w:t>
            </w:r>
            <w:r>
              <w:br/>
            </w:r>
            <w:r>
              <w:rPr>
                <w:rFonts w:ascii="Times New Roman"/>
                <w:b w:val="false"/>
                <w:i w:val="false"/>
                <w:color w:val="000000"/>
                <w:sz w:val="20"/>
              </w:rPr>
              <w:t>and financial condition</w:t>
            </w:r>
            <w:r>
              <w:br/>
            </w:r>
            <w:r>
              <w:rPr>
                <w:rFonts w:ascii="Times New Roman"/>
                <w:b w:val="false"/>
                <w:i w:val="false"/>
                <w:color w:val="000000"/>
                <w:sz w:val="20"/>
              </w:rPr>
              <w:t>Export Credit Agency</w:t>
            </w:r>
            <w:r>
              <w:br/>
            </w:r>
            <w:r>
              <w:rPr>
                <w:rFonts w:ascii="Times New Roman"/>
                <w:b w:val="false"/>
                <w:i w:val="false"/>
                <w:color w:val="000000"/>
                <w:sz w:val="20"/>
              </w:rPr>
              <w:t>of the Republic of Kazakhstan, which has</w:t>
            </w:r>
            <w:r>
              <w:br/>
            </w:r>
            <w:r>
              <w:rPr>
                <w:rFonts w:ascii="Times New Roman"/>
                <w:b w:val="false"/>
                <w:i w:val="false"/>
                <w:color w:val="000000"/>
                <w:sz w:val="20"/>
              </w:rPr>
              <w:t>state guarantee</w:t>
            </w:r>
            <w:r>
              <w:br/>
            </w:r>
            <w:r>
              <w:rPr>
                <w:rFonts w:ascii="Times New Roman"/>
                <w:b w:val="false"/>
                <w:i w:val="false"/>
                <w:color w:val="000000"/>
                <w:sz w:val="20"/>
              </w:rPr>
              <w:t>on export support</w:t>
            </w:r>
          </w:p>
        </w:tc>
      </w:tr>
    </w:tbl>
    <w:p>
      <w:pPr>
        <w:spacing w:after="0"/>
        <w:ind w:left="0"/>
        <w:jc w:val="left"/>
      </w:pPr>
      <w:r>
        <w:rPr>
          <w:rFonts w:ascii="Times New Roman"/>
          <w:b/>
          <w:i w:val="false"/>
          <w:color w:val="000000"/>
        </w:rPr>
        <w:t xml:space="preserve"> Information on insurance and guarantee payments within the framework of accepted insurance and guarantee obligations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 of insurance and guarantee payments to equity,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at the end of the reporting period in local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liabilities,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 roubles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United States dollars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local currency at the exchange rate at the date of the report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Equity at the end of the reporting period - _______ thousand tenge</w:t>
      </w:r>
    </w:p>
    <w:p>
      <w:pPr>
        <w:spacing w:after="0"/>
        <w:ind w:left="0"/>
        <w:jc w:val="both"/>
      </w:pPr>
      <w:r>
        <w:rPr>
          <w:rFonts w:ascii="Times New Roman"/>
          <w:b w:val="false"/>
          <w:i w:val="false"/>
          <w:color w:val="000000"/>
          <w:sz w:val="28"/>
        </w:rPr>
        <w:t>
      ___________________ ____________ ______________________________.</w:t>
      </w:r>
    </w:p>
    <w:p>
      <w:pPr>
        <w:spacing w:after="0"/>
        <w:ind w:left="0"/>
        <w:jc w:val="both"/>
      </w:pPr>
      <w:r>
        <w:rPr>
          <w:rFonts w:ascii="Times New Roman"/>
          <w:b w:val="false"/>
          <w:i w:val="false"/>
          <w:color w:val="000000"/>
          <w:sz w:val="28"/>
        </w:rPr>
        <w:t>
      first manager signature surname, name, patronymic (if any)</w:t>
      </w:r>
    </w:p>
    <w:p>
      <w:pPr>
        <w:spacing w:after="0"/>
        <w:ind w:left="0"/>
        <w:jc w:val="both"/>
      </w:pPr>
      <w:r>
        <w:rPr>
          <w:rFonts w:ascii="Times New Roman"/>
          <w:b w:val="false"/>
          <w:i w:val="false"/>
          <w:color w:val="000000"/>
          <w:sz w:val="28"/>
        </w:rPr>
        <w:t>
      ___________________ ____________ _____________________________</w:t>
      </w:r>
    </w:p>
    <w:p>
      <w:pPr>
        <w:spacing w:after="0"/>
        <w:ind w:left="0"/>
        <w:jc w:val="both"/>
      </w:pPr>
      <w:r>
        <w:rPr>
          <w:rFonts w:ascii="Times New Roman"/>
          <w:b w:val="false"/>
          <w:i w:val="false"/>
          <w:color w:val="000000"/>
          <w:sz w:val="28"/>
        </w:rPr>
        <w:t>
      chief accountant signature surname, first name, patronymic (if any)</w:t>
      </w:r>
    </w:p>
    <w:p>
      <w:pPr>
        <w:spacing w:after="0"/>
        <w:ind w:left="0"/>
        <w:jc w:val="both"/>
      </w:pPr>
      <w:r>
        <w:rPr>
          <w:rFonts w:ascii="Times New Roman"/>
          <w:b w:val="false"/>
          <w:i w:val="false"/>
          <w:color w:val="000000"/>
          <w:sz w:val="28"/>
        </w:rPr>
        <w:t>
      ___________________ _____________ ____________________________</w:t>
      </w:r>
    </w:p>
    <w:p>
      <w:pPr>
        <w:spacing w:after="0"/>
        <w:ind w:left="0"/>
        <w:jc w:val="both"/>
      </w:pPr>
      <w:r>
        <w:rPr>
          <w:rFonts w:ascii="Times New Roman"/>
          <w:b w:val="false"/>
          <w:i w:val="false"/>
          <w:color w:val="000000"/>
          <w:sz w:val="28"/>
        </w:rPr>
        <w:t>
      responsible executive signature surname, name, patronymic (if any)</w:t>
      </w:r>
    </w:p>
    <w:p>
      <w:pPr>
        <w:spacing w:after="0"/>
        <w:ind w:left="0"/>
        <w:jc w:val="both"/>
      </w:pPr>
      <w:r>
        <w:rPr>
          <w:rFonts w:ascii="Times New Roman"/>
          <w:b w:val="false"/>
          <w:i w:val="false"/>
          <w:color w:val="000000"/>
          <w:sz w:val="28"/>
        </w:rPr>
        <w:t>
      phone number of the attorney (agent) 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report shall be prepared monthly until the 20th (twentieth) day of the month,</w:t>
      </w:r>
    </w:p>
    <w:p>
      <w:pPr>
        <w:spacing w:after="0"/>
        <w:ind w:left="0"/>
        <w:jc w:val="both"/>
      </w:pPr>
      <w:r>
        <w:rPr>
          <w:rFonts w:ascii="Times New Roman"/>
          <w:b w:val="false"/>
          <w:i w:val="false"/>
          <w:color w:val="000000"/>
          <w:sz w:val="28"/>
        </w:rPr>
        <w:t>
      following the reporting period.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conducting</w:t>
            </w:r>
            <w:r>
              <w:br/>
            </w:r>
            <w:r>
              <w:rPr>
                <w:rFonts w:ascii="Times New Roman"/>
                <w:b w:val="false"/>
                <w:i w:val="false"/>
                <w:color w:val="000000"/>
                <w:sz w:val="20"/>
              </w:rPr>
              <w:t>of monitoring of the guaranteed</w:t>
            </w:r>
            <w:r>
              <w:br/>
            </w:r>
            <w:r>
              <w:rPr>
                <w:rFonts w:ascii="Times New Roman"/>
                <w:b w:val="false"/>
                <w:i w:val="false"/>
                <w:color w:val="000000"/>
                <w:sz w:val="20"/>
              </w:rPr>
              <w:t>state obligation</w:t>
            </w:r>
            <w:r>
              <w:br/>
            </w:r>
            <w:r>
              <w:rPr>
                <w:rFonts w:ascii="Times New Roman"/>
                <w:b w:val="false"/>
                <w:i w:val="false"/>
                <w:color w:val="000000"/>
                <w:sz w:val="20"/>
              </w:rPr>
              <w:t>on export support</w:t>
            </w:r>
            <w:r>
              <w:br/>
            </w:r>
            <w:r>
              <w:rPr>
                <w:rFonts w:ascii="Times New Roman"/>
                <w:b w:val="false"/>
                <w:i w:val="false"/>
                <w:color w:val="000000"/>
                <w:sz w:val="20"/>
              </w:rPr>
              <w:t>and financial condition</w:t>
            </w:r>
            <w:r>
              <w:br/>
            </w:r>
            <w:r>
              <w:rPr>
                <w:rFonts w:ascii="Times New Roman"/>
                <w:b w:val="false"/>
                <w:i w:val="false"/>
                <w:color w:val="000000"/>
                <w:sz w:val="20"/>
              </w:rPr>
              <w:t>Export Credit Agency</w:t>
            </w:r>
            <w:r>
              <w:br/>
            </w:r>
            <w:r>
              <w:rPr>
                <w:rFonts w:ascii="Times New Roman"/>
                <w:b w:val="false"/>
                <w:i w:val="false"/>
                <w:color w:val="000000"/>
                <w:sz w:val="20"/>
              </w:rPr>
              <w:t>of the Republic of Kazakhstan, which has</w:t>
            </w:r>
            <w:r>
              <w:br/>
            </w:r>
            <w:r>
              <w:rPr>
                <w:rFonts w:ascii="Times New Roman"/>
                <w:b w:val="false"/>
                <w:i w:val="false"/>
                <w:color w:val="000000"/>
                <w:sz w:val="20"/>
              </w:rPr>
              <w:t>state guarantee</w:t>
            </w:r>
            <w:r>
              <w:br/>
            </w:r>
            <w:r>
              <w:rPr>
                <w:rFonts w:ascii="Times New Roman"/>
                <w:b w:val="false"/>
                <w:i w:val="false"/>
                <w:color w:val="000000"/>
                <w:sz w:val="20"/>
              </w:rPr>
              <w:t>on export support</w:t>
            </w:r>
          </w:p>
        </w:tc>
      </w:tr>
    </w:tbl>
    <w:p>
      <w:pPr>
        <w:spacing w:after="0"/>
        <w:ind w:left="0"/>
        <w:jc w:val="left"/>
      </w:pPr>
      <w:r>
        <w:rPr>
          <w:rFonts w:ascii="Times New Roman"/>
          <w:b/>
          <w:i w:val="false"/>
          <w:color w:val="000000"/>
        </w:rPr>
        <w:t xml:space="preserve"> Information on insurance and guarantee payments within the framework of accepted insurance and guarantee obligations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benefits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equity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 of insurance and guarantee payments to equity capital,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at the end of the reporting period in national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in foreign currency,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 roubles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United States dollars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euros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national currency at the exchange rate as of the date of this report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Shareholders' equity at the end of the reporting period - _______ thousand tenge</w:t>
      </w:r>
    </w:p>
    <w:p>
      <w:pPr>
        <w:spacing w:after="0"/>
        <w:ind w:left="0"/>
        <w:jc w:val="both"/>
      </w:pPr>
      <w:r>
        <w:rPr>
          <w:rFonts w:ascii="Times New Roman"/>
          <w:b w:val="false"/>
          <w:i w:val="false"/>
          <w:color w:val="000000"/>
          <w:sz w:val="28"/>
        </w:rPr>
        <w:t>
      _____________________ ________________ ____________________________</w:t>
      </w:r>
    </w:p>
    <w:p>
      <w:pPr>
        <w:spacing w:after="0"/>
        <w:ind w:left="0"/>
        <w:jc w:val="both"/>
      </w:pPr>
      <w:r>
        <w:rPr>
          <w:rFonts w:ascii="Times New Roman"/>
          <w:b w:val="false"/>
          <w:i w:val="false"/>
          <w:color w:val="000000"/>
          <w:sz w:val="28"/>
        </w:rPr>
        <w:t>
      first manager signature surname, first name, patronymic (if any)</w:t>
      </w:r>
    </w:p>
    <w:p>
      <w:pPr>
        <w:spacing w:after="0"/>
        <w:ind w:left="0"/>
        <w:jc w:val="both"/>
      </w:pPr>
      <w:r>
        <w:rPr>
          <w:rFonts w:ascii="Times New Roman"/>
          <w:b w:val="false"/>
          <w:i w:val="false"/>
          <w:color w:val="000000"/>
          <w:sz w:val="28"/>
        </w:rPr>
        <w:t>
      _____________________ ________________ ____________________________</w:t>
      </w:r>
    </w:p>
    <w:p>
      <w:pPr>
        <w:spacing w:after="0"/>
        <w:ind w:left="0"/>
        <w:jc w:val="both"/>
      </w:pPr>
      <w:r>
        <w:rPr>
          <w:rFonts w:ascii="Times New Roman"/>
          <w:b w:val="false"/>
          <w:i w:val="false"/>
          <w:color w:val="000000"/>
          <w:sz w:val="28"/>
        </w:rPr>
        <w:t>
      chief accountant signature surname, first name, patronymic (if available)</w:t>
      </w:r>
    </w:p>
    <w:p>
      <w:pPr>
        <w:spacing w:after="0"/>
        <w:ind w:left="0"/>
        <w:jc w:val="both"/>
      </w:pPr>
      <w:r>
        <w:rPr>
          <w:rFonts w:ascii="Times New Roman"/>
          <w:b w:val="false"/>
          <w:i w:val="false"/>
          <w:color w:val="000000"/>
          <w:sz w:val="28"/>
        </w:rPr>
        <w:t>
      ____________________ __________________ ___________________________</w:t>
      </w:r>
    </w:p>
    <w:p>
      <w:pPr>
        <w:spacing w:after="0"/>
        <w:ind w:left="0"/>
        <w:jc w:val="both"/>
      </w:pPr>
      <w:r>
        <w:rPr>
          <w:rFonts w:ascii="Times New Roman"/>
          <w:b w:val="false"/>
          <w:i w:val="false"/>
          <w:color w:val="000000"/>
          <w:sz w:val="28"/>
        </w:rPr>
        <w:t>
      responsible executor signature surname, first name, patronymic (if available)</w:t>
      </w:r>
    </w:p>
    <w:p>
      <w:pPr>
        <w:spacing w:after="0"/>
        <w:ind w:left="0"/>
        <w:jc w:val="both"/>
      </w:pPr>
      <w:r>
        <w:rPr>
          <w:rFonts w:ascii="Times New Roman"/>
          <w:b w:val="false"/>
          <w:i w:val="false"/>
          <w:color w:val="000000"/>
          <w:sz w:val="28"/>
        </w:rPr>
        <w:t>
      phone number of the Export Credit Agency of Kazakhstan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report shall be prepared monthly, by the 15th (fifteenth) day of the month,</w:t>
      </w:r>
    </w:p>
    <w:p>
      <w:pPr>
        <w:spacing w:after="0"/>
        <w:ind w:left="0"/>
        <w:jc w:val="both"/>
      </w:pPr>
      <w:r>
        <w:rPr>
          <w:rFonts w:ascii="Times New Roman"/>
          <w:b w:val="false"/>
          <w:i w:val="false"/>
          <w:color w:val="000000"/>
          <w:sz w:val="28"/>
        </w:rPr>
        <w:t>
      following the reporting period.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conducting</w:t>
            </w:r>
            <w:r>
              <w:br/>
            </w:r>
            <w:r>
              <w:rPr>
                <w:rFonts w:ascii="Times New Roman"/>
                <w:b w:val="false"/>
                <w:i w:val="false"/>
                <w:color w:val="000000"/>
                <w:sz w:val="20"/>
              </w:rPr>
              <w:t xml:space="preserve">of monitoring of the guaranteed </w:t>
            </w:r>
            <w:r>
              <w:br/>
            </w:r>
            <w:r>
              <w:rPr>
                <w:rFonts w:ascii="Times New Roman"/>
                <w:b w:val="false"/>
                <w:i w:val="false"/>
                <w:color w:val="000000"/>
                <w:sz w:val="20"/>
              </w:rPr>
              <w:t xml:space="preserve">by state obligation </w:t>
            </w:r>
            <w:r>
              <w:br/>
            </w:r>
            <w:r>
              <w:rPr>
                <w:rFonts w:ascii="Times New Roman"/>
                <w:b w:val="false"/>
                <w:i w:val="false"/>
                <w:color w:val="000000"/>
                <w:sz w:val="20"/>
              </w:rPr>
              <w:t xml:space="preserve">on expert support </w:t>
            </w:r>
            <w:r>
              <w:br/>
            </w:r>
            <w:r>
              <w:rPr>
                <w:rFonts w:ascii="Times New Roman"/>
                <w:b w:val="false"/>
                <w:i w:val="false"/>
                <w:color w:val="000000"/>
                <w:sz w:val="20"/>
              </w:rPr>
              <w:t xml:space="preserve">and financial condition </w:t>
            </w:r>
            <w:r>
              <w:br/>
            </w:r>
            <w:r>
              <w:rPr>
                <w:rFonts w:ascii="Times New Roman"/>
                <w:b w:val="false"/>
                <w:i w:val="false"/>
                <w:color w:val="000000"/>
                <w:sz w:val="20"/>
              </w:rPr>
              <w:t xml:space="preserve">of Expert Credit Agency </w:t>
            </w:r>
            <w:r>
              <w:br/>
            </w:r>
            <w:r>
              <w:rPr>
                <w:rFonts w:ascii="Times New Roman"/>
                <w:b w:val="false"/>
                <w:i w:val="false"/>
                <w:color w:val="000000"/>
                <w:sz w:val="20"/>
              </w:rPr>
              <w:t xml:space="preserve">of Kazakhstan, which has </w:t>
            </w:r>
            <w:r>
              <w:br/>
            </w:r>
            <w:r>
              <w:rPr>
                <w:rFonts w:ascii="Times New Roman"/>
                <w:b w:val="false"/>
                <w:i w:val="false"/>
                <w:color w:val="000000"/>
                <w:sz w:val="20"/>
              </w:rPr>
              <w:t xml:space="preserve">state guarantee </w:t>
            </w:r>
          </w:p>
        </w:tc>
      </w:tr>
    </w:tbl>
    <w:bookmarkStart w:name="z98" w:id="16"/>
    <w:p>
      <w:pPr>
        <w:spacing w:after="0"/>
        <w:ind w:left="0"/>
        <w:jc w:val="left"/>
      </w:pPr>
      <w:r>
        <w:rPr>
          <w:rFonts w:ascii="Times New Roman"/>
          <w:b/>
          <w:i w:val="false"/>
          <w:color w:val="000000"/>
        </w:rPr>
        <w:t xml:space="preserve"> Information on the socio-economic effect of the final results under existing insurance and guarantee contacts as of the last date of the reporting quarter, insurance and guarantee as of the last date of the reporting quarter, secured by the State Guarantee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export contracts as of the end of the reporting period, quantity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export contracts as of the end of the reporting period, thousand tenge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products produced, bln. KZT*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paid by exporters, thousand KZT*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jobs created,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17"/>
    <w:p>
      <w:pPr>
        <w:spacing w:after="0"/>
        <w:ind w:left="0"/>
        <w:jc w:val="both"/>
      </w:pPr>
      <w:r>
        <w:rPr>
          <w:rFonts w:ascii="Times New Roman"/>
          <w:b w:val="false"/>
          <w:i w:val="false"/>
          <w:color w:val="000000"/>
          <w:sz w:val="28"/>
        </w:rPr>
        <w:t>
      periodicity: quarterly</w:t>
      </w:r>
    </w:p>
    <w:bookmarkEnd w:id="17"/>
    <w:p>
      <w:pPr>
        <w:spacing w:after="0"/>
        <w:ind w:left="0"/>
        <w:jc w:val="both"/>
      </w:pPr>
      <w:r>
        <w:rPr>
          <w:rFonts w:ascii="Times New Roman"/>
          <w:b w:val="false"/>
          <w:i w:val="false"/>
          <w:color w:val="000000"/>
          <w:sz w:val="28"/>
        </w:rPr>
        <w:t>
      *In accordance with Article 112-1 of the Entrepreneurial Code of the Republic of Kazakhstan</w:t>
      </w:r>
    </w:p>
    <w:p>
      <w:pPr>
        <w:spacing w:after="0"/>
        <w:ind w:left="0"/>
        <w:jc w:val="both"/>
      </w:pPr>
      <w:r>
        <w:rPr>
          <w:rFonts w:ascii="Times New Roman"/>
          <w:b w:val="false"/>
          <w:i w:val="false"/>
          <w:color w:val="000000"/>
          <w:sz w:val="28"/>
        </w:rPr>
        <w:t>
      provision of information to state authorities and other persons by business entities</w:t>
      </w:r>
    </w:p>
    <w:p>
      <w:pPr>
        <w:spacing w:after="0"/>
        <w:ind w:left="0"/>
        <w:jc w:val="both"/>
      </w:pPr>
      <w:r>
        <w:rPr>
          <w:rFonts w:ascii="Times New Roman"/>
          <w:b w:val="false"/>
          <w:i w:val="false"/>
          <w:color w:val="000000"/>
          <w:sz w:val="28"/>
        </w:rPr>
        <w:t>
      of entrepreneurship, is carried out only in the presence of the relevant requirements established by the laws of the Republic of Kazakhstan.</w:t>
      </w:r>
    </w:p>
    <w:p>
      <w:pPr>
        <w:spacing w:after="0"/>
        <w:ind w:left="0"/>
        <w:jc w:val="both"/>
      </w:pPr>
      <w:r>
        <w:rPr>
          <w:rFonts w:ascii="Times New Roman"/>
          <w:b w:val="false"/>
          <w:i w:val="false"/>
          <w:color w:val="000000"/>
          <w:sz w:val="28"/>
        </w:rPr>
        <w:t>
      requirements established by the laws of the Republic of Kazakhstan. In this regard, the data</w:t>
      </w:r>
    </w:p>
    <w:p>
      <w:pPr>
        <w:spacing w:after="0"/>
        <w:ind w:left="0"/>
        <w:jc w:val="both"/>
      </w:pPr>
      <w:r>
        <w:rPr>
          <w:rFonts w:ascii="Times New Roman"/>
          <w:b w:val="false"/>
          <w:i w:val="false"/>
          <w:color w:val="000000"/>
          <w:sz w:val="28"/>
        </w:rPr>
        <w:t>
      are formed on the basis of submitted letters of exporters.</w:t>
      </w:r>
    </w:p>
    <w:p>
      <w:pPr>
        <w:spacing w:after="0"/>
        <w:ind w:left="0"/>
        <w:jc w:val="both"/>
      </w:pPr>
      <w:r>
        <w:rPr>
          <w:rFonts w:ascii="Times New Roman"/>
          <w:b w:val="false"/>
          <w:i w:val="false"/>
          <w:color w:val="000000"/>
          <w:sz w:val="28"/>
        </w:rPr>
        <w:t>
      first head signature surname, first name, patronymic (if any)</w:t>
      </w:r>
    </w:p>
    <w:p>
      <w:pPr>
        <w:spacing w:after="0"/>
        <w:ind w:left="0"/>
        <w:jc w:val="both"/>
      </w:pPr>
      <w:r>
        <w:rPr>
          <w:rFonts w:ascii="Times New Roman"/>
          <w:b w:val="false"/>
          <w:i w:val="false"/>
          <w:color w:val="000000"/>
          <w:sz w:val="28"/>
        </w:rPr>
        <w:t>
      _______________ _____________ ____________________________________</w:t>
      </w:r>
    </w:p>
    <w:p>
      <w:pPr>
        <w:spacing w:after="0"/>
        <w:ind w:left="0"/>
        <w:jc w:val="both"/>
      </w:pPr>
      <w:r>
        <w:rPr>
          <w:rFonts w:ascii="Times New Roman"/>
          <w:b w:val="false"/>
          <w:i w:val="false"/>
          <w:color w:val="000000"/>
          <w:sz w:val="28"/>
        </w:rPr>
        <w:t>
      responsible executor signature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