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0570a" w14:textId="f905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paid types of activities on the sale of goods (works, services) by the Academy of Justice under the Supreme Court of the Republic of Kazakhstan and its spending money from the sale of goods (works,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Head of the Department for provision of courts’ activity under the Supreme Court of the Republic of Kazakhstan (apparatus of the Supreme Court of the Republic of Kazakhstan) dated March 3, 2020 no. 11. Registered with the Ministry of Justice of the Republic of Kazakhstan on March 12, 2020 no. 20107.</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accordance with clause 3 of article 63 of the Law of the Republic of Kazakhstan "On Education", subclause 8-2) of clause 20 of the Department for provision of courts’ activity under the Supreme Court of the Republic of Kazakhstan (apparatus of the Supreme Court of the Republic of Kazakhstan), approved by the Decree of the President of the Republic of Kazakhstan on November 3, 2010 no. 1093,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provision of paid types of activities on the sale of goods (works, services) by the Academy of Justice under the Supreme Court of the Republic of Kazakhstan and its spending money from the sale of goods (works, services).</w:t>
      </w:r>
    </w:p>
    <w:p>
      <w:pPr>
        <w:spacing w:after="0"/>
        <w:ind w:left="0"/>
        <w:jc w:val="both"/>
      </w:pPr>
      <w:r>
        <w:rPr>
          <w:rFonts w:ascii="Times New Roman"/>
          <w:b w:val="false"/>
          <w:i w:val="false"/>
          <w:color w:val="000000"/>
          <w:sz w:val="28"/>
        </w:rPr>
        <w:t>
      2. The Academy of Justice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official Internet resource of the Supreme Court of the Republic of Kazakhstan.</w:t>
      </w:r>
    </w:p>
    <w:p>
      <w:pPr>
        <w:spacing w:after="0"/>
        <w:ind w:left="0"/>
        <w:jc w:val="both"/>
      </w:pPr>
      <w:r>
        <w:rPr>
          <w:rFonts w:ascii="Times New Roman"/>
          <w:b w:val="false"/>
          <w:i w:val="false"/>
          <w:color w:val="000000"/>
          <w:sz w:val="28"/>
        </w:rPr>
        <w:t>
      3. This order shall come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Head of the Department for provision</w:t>
            </w:r>
          </w:p>
          <w:p>
            <w:pPr>
              <w:spacing w:after="20"/>
              <w:ind w:left="20"/>
              <w:jc w:val="both"/>
            </w:pPr>
          </w:p>
          <w:p>
            <w:pPr>
              <w:spacing w:after="20"/>
              <w:ind w:left="20"/>
              <w:jc w:val="both"/>
            </w:pPr>
            <w:r>
              <w:rPr>
                <w:rFonts w:ascii="Times New Roman"/>
                <w:b w:val="false"/>
                <w:i/>
                <w:color w:val="000000"/>
                <w:sz w:val="20"/>
              </w:rPr>
              <w:t xml:space="preserve"> of courts’ activity under the Supreme Court</w:t>
            </w:r>
          </w:p>
          <w:p>
            <w:pPr>
              <w:spacing w:after="20"/>
              <w:ind w:left="20"/>
              <w:jc w:val="both"/>
            </w:pPr>
            <w:r>
              <w:rPr>
                <w:rFonts w:ascii="Times New Roman"/>
                <w:b w:val="false"/>
                <w:i/>
                <w:color w:val="000000"/>
                <w:sz w:val="20"/>
              </w:rPr>
              <w:t xml:space="preserve"> of the Republic of Kazakhstan </w:t>
            </w:r>
          </w:p>
          <w:p>
            <w:pPr>
              <w:spacing w:after="20"/>
              <w:ind w:left="20"/>
              <w:jc w:val="both"/>
            </w:pPr>
            <w:r>
              <w:rPr>
                <w:rFonts w:ascii="Times New Roman"/>
                <w:b w:val="false"/>
                <w:i/>
                <w:color w:val="000000"/>
                <w:sz w:val="20"/>
              </w:rPr>
              <w:t xml:space="preserve">(apparatus of the Supreme Court </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AKHMETZAKIROV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w:t>
            </w:r>
            <w:r>
              <w:br/>
            </w:r>
            <w:r>
              <w:rPr>
                <w:rFonts w:ascii="Times New Roman"/>
                <w:b w:val="false"/>
                <w:i w:val="false"/>
                <w:color w:val="000000"/>
                <w:sz w:val="20"/>
              </w:rPr>
              <w:t xml:space="preserve">the Head of the Department </w:t>
            </w:r>
            <w:r>
              <w:br/>
            </w:r>
            <w:r>
              <w:rPr>
                <w:rFonts w:ascii="Times New Roman"/>
                <w:b w:val="false"/>
                <w:i w:val="false"/>
                <w:color w:val="000000"/>
                <w:sz w:val="20"/>
              </w:rPr>
              <w:t xml:space="preserve">for provision of courts’ activity </w:t>
            </w:r>
            <w:r>
              <w:br/>
            </w:r>
            <w:r>
              <w:rPr>
                <w:rFonts w:ascii="Times New Roman"/>
                <w:b w:val="false"/>
                <w:i w:val="false"/>
                <w:color w:val="000000"/>
                <w:sz w:val="20"/>
              </w:rPr>
              <w:t>under the Supreme Court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dated March 3, 2020 no. 11</w:t>
            </w:r>
          </w:p>
        </w:tc>
      </w:tr>
    </w:tbl>
    <w:p>
      <w:pPr>
        <w:spacing w:after="0"/>
        <w:ind w:left="0"/>
        <w:jc w:val="left"/>
      </w:pPr>
      <w:r>
        <w:rPr>
          <w:rFonts w:ascii="Times New Roman"/>
          <w:b/>
          <w:i w:val="false"/>
          <w:color w:val="000000"/>
        </w:rPr>
        <w:t xml:space="preserve"> Rules for provision of paid types of activities on the sale of goods (works, services) by the Academy of Justice under the Supreme Court of the Republic of Kazakhstan and its spending money from the sale of goods (works, services) Chapter 1. General Provisions</w:t>
      </w:r>
    </w:p>
    <w:p>
      <w:pPr>
        <w:spacing w:after="0"/>
        <w:ind w:left="0"/>
        <w:jc w:val="both"/>
      </w:pPr>
      <w:r>
        <w:rPr>
          <w:rFonts w:ascii="Times New Roman"/>
          <w:b w:val="false"/>
          <w:i w:val="false"/>
          <w:color w:val="000000"/>
          <w:sz w:val="28"/>
        </w:rPr>
        <w:t>
      1. These Rules for provision of paid types of activities on the sale of goods (works, services) by the Academy of Justice under the Supreme Court of the Republic of Kazakhstan (hereinafter referred to as the Academy) and its spending money from the sale of goods (works, services) shall determine the procedure for provision of paid types of activities on the sale of goods (works, services) by the Academy of Justice under the Supreme Court of the Republic of Kazakhstan and its spending money from the sale of goods (works, services).</w:t>
      </w:r>
    </w:p>
    <w:p>
      <w:pPr>
        <w:spacing w:after="0"/>
        <w:ind w:left="0"/>
        <w:jc w:val="left"/>
      </w:pPr>
      <w:r>
        <w:rPr>
          <w:rFonts w:ascii="Times New Roman"/>
          <w:b/>
          <w:i w:val="false"/>
          <w:color w:val="000000"/>
        </w:rPr>
        <w:t xml:space="preserve"> Chapter 2. Procedure for provision of paid types of activities on the sale of goods (works, services)</w:t>
      </w:r>
    </w:p>
    <w:p>
      <w:pPr>
        <w:spacing w:after="0"/>
        <w:ind w:left="0"/>
        <w:jc w:val="both"/>
      </w:pPr>
      <w:r>
        <w:rPr>
          <w:rFonts w:ascii="Times New Roman"/>
          <w:b w:val="false"/>
          <w:i w:val="false"/>
          <w:color w:val="000000"/>
          <w:sz w:val="28"/>
        </w:rPr>
        <w:t>
      2. The Academy sells, on a paid basis with the conclusion of an agreement on the provision of paid services, the corresponding goods (works, services) stipulated by clause 3 of article 63 of the Law of the Republic of Kazakhstan dated July 27, 2007 "On Education".</w:t>
      </w:r>
    </w:p>
    <w:p>
      <w:pPr>
        <w:spacing w:after="0"/>
        <w:ind w:left="0"/>
        <w:jc w:val="both"/>
      </w:pPr>
      <w:r>
        <w:rPr>
          <w:rFonts w:ascii="Times New Roman"/>
          <w:b w:val="false"/>
          <w:i w:val="false"/>
          <w:color w:val="000000"/>
          <w:sz w:val="28"/>
        </w:rPr>
        <w:t>
      3. Paid activities of the Academy include the sale of goods (work, services) for:</w:t>
      </w:r>
    </w:p>
    <w:p>
      <w:pPr>
        <w:spacing w:after="0"/>
        <w:ind w:left="0"/>
        <w:jc w:val="both"/>
      </w:pPr>
      <w:r>
        <w:rPr>
          <w:rFonts w:ascii="Times New Roman"/>
          <w:b w:val="false"/>
          <w:i w:val="false"/>
          <w:color w:val="000000"/>
          <w:sz w:val="28"/>
        </w:rPr>
        <w:t>
      1) additional educational programs;</w:t>
      </w:r>
    </w:p>
    <w:p>
      <w:pPr>
        <w:spacing w:after="0"/>
        <w:ind w:left="0"/>
        <w:jc w:val="both"/>
      </w:pPr>
      <w:r>
        <w:rPr>
          <w:rFonts w:ascii="Times New Roman"/>
          <w:b w:val="false"/>
          <w:i w:val="false"/>
          <w:color w:val="000000"/>
          <w:sz w:val="28"/>
        </w:rPr>
        <w:t>
      2) postgraduate educational programs;</w:t>
      </w:r>
    </w:p>
    <w:p>
      <w:pPr>
        <w:spacing w:after="0"/>
        <w:ind w:left="0"/>
        <w:jc w:val="both"/>
      </w:pPr>
      <w:r>
        <w:rPr>
          <w:rFonts w:ascii="Times New Roman"/>
          <w:b w:val="false"/>
          <w:i w:val="false"/>
          <w:color w:val="000000"/>
          <w:sz w:val="28"/>
        </w:rPr>
        <w:t>
      3) organization of additional classes with individual students in subjects (disciplines and cycles of disciplines) in addition to the educational time allocated on the curriculum and programs;</w:t>
      </w:r>
    </w:p>
    <w:p>
      <w:pPr>
        <w:spacing w:after="0"/>
        <w:ind w:left="0"/>
        <w:jc w:val="both"/>
      </w:pPr>
      <w:r>
        <w:rPr>
          <w:rFonts w:ascii="Times New Roman"/>
          <w:b w:val="false"/>
          <w:i w:val="false"/>
          <w:color w:val="000000"/>
          <w:sz w:val="28"/>
        </w:rPr>
        <w:t>
      4) organization of in-depth study with students of the fundamentals of science in subjects (disciplines and cycles of disciplines);</w:t>
      </w:r>
    </w:p>
    <w:p>
      <w:pPr>
        <w:spacing w:after="0"/>
        <w:ind w:left="0"/>
        <w:jc w:val="both"/>
      </w:pPr>
      <w:r>
        <w:rPr>
          <w:rFonts w:ascii="Times New Roman"/>
          <w:b w:val="false"/>
          <w:i w:val="false"/>
          <w:color w:val="000000"/>
          <w:sz w:val="28"/>
        </w:rPr>
        <w:t>
      5) organizing and conducting various events: seminars, meetings, conferences, sports competitions;</w:t>
      </w:r>
    </w:p>
    <w:p>
      <w:pPr>
        <w:spacing w:after="0"/>
        <w:ind w:left="0"/>
        <w:jc w:val="both"/>
      </w:pPr>
      <w:r>
        <w:rPr>
          <w:rFonts w:ascii="Times New Roman"/>
          <w:b w:val="false"/>
          <w:i w:val="false"/>
          <w:color w:val="000000"/>
          <w:sz w:val="28"/>
        </w:rPr>
        <w:t>
      6) development and implementation of courseware;</w:t>
      </w:r>
    </w:p>
    <w:p>
      <w:pPr>
        <w:spacing w:after="0"/>
        <w:ind w:left="0"/>
        <w:jc w:val="both"/>
      </w:pPr>
      <w:r>
        <w:rPr>
          <w:rFonts w:ascii="Times New Roman"/>
          <w:b w:val="false"/>
          <w:i w:val="false"/>
          <w:color w:val="000000"/>
          <w:sz w:val="28"/>
        </w:rPr>
        <w:t>
      7) scientific research.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acting head of the Department for ensuring the operation of the courts under the Supreme Court of the Republic of Kazakhstan (Administrative Office of the Supreme Court of the Republic of Kazakhstan) dated 24.08.2021 No. 27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Academy places information indicating the list of goods (works, services) sold and their prices in the media, on the official Internet resource and in a specially designated place on the territory (premises) of the Academy.</w:t>
      </w:r>
    </w:p>
    <w:p>
      <w:pPr>
        <w:spacing w:after="0"/>
        <w:ind w:left="0"/>
        <w:jc w:val="both"/>
      </w:pPr>
      <w:r>
        <w:rPr>
          <w:rFonts w:ascii="Times New Roman"/>
          <w:b w:val="false"/>
          <w:i w:val="false"/>
          <w:color w:val="000000"/>
          <w:sz w:val="28"/>
        </w:rPr>
        <w:t>
      5. The Academy sells goods (works, services) to individuals and legal entities based on a written application registered in the register of registration of applications of individuals and legal entities for the provision of paid services in the form, in accordance with the Appendix to these Rules.</w:t>
      </w:r>
    </w:p>
    <w:p>
      <w:pPr>
        <w:spacing w:after="0"/>
        <w:ind w:left="0"/>
        <w:jc w:val="both"/>
      </w:pPr>
      <w:r>
        <w:rPr>
          <w:rFonts w:ascii="Times New Roman"/>
          <w:b w:val="false"/>
          <w:i w:val="false"/>
          <w:color w:val="000000"/>
          <w:sz w:val="28"/>
        </w:rPr>
        <w:t>
      6. The relationship, including the form of payment, for the sale of goods (works, services) on a paid basis between the Academy and individuals or legal entities are governed by an agreement in accordance with the legislation of the Republic of Kazakhstan.</w:t>
      </w:r>
    </w:p>
    <w:p>
      <w:pPr>
        <w:spacing w:after="0"/>
        <w:ind w:left="0"/>
        <w:jc w:val="both"/>
      </w:pPr>
      <w:r>
        <w:rPr>
          <w:rFonts w:ascii="Times New Roman"/>
          <w:b w:val="false"/>
          <w:i w:val="false"/>
          <w:color w:val="000000"/>
          <w:sz w:val="28"/>
        </w:rPr>
        <w:t>
      7. Payment for the sale of goods (works, services) is made in non-cash form by transferring funds to the control cash account of paid services of the Academy.</w:t>
      </w:r>
    </w:p>
    <w:p>
      <w:pPr>
        <w:spacing w:after="0"/>
        <w:ind w:left="0"/>
        <w:jc w:val="left"/>
      </w:pPr>
      <w:r>
        <w:rPr>
          <w:rFonts w:ascii="Times New Roman"/>
          <w:b/>
          <w:i w:val="false"/>
          <w:color w:val="000000"/>
        </w:rPr>
        <w:t xml:space="preserve"> Chapter 3. Procedure of spending by the Academy of money from the sale of goods (works, services)</w:t>
      </w:r>
    </w:p>
    <w:p>
      <w:pPr>
        <w:spacing w:after="0"/>
        <w:ind w:left="0"/>
        <w:jc w:val="both"/>
      </w:pPr>
      <w:r>
        <w:rPr>
          <w:rFonts w:ascii="Times New Roman"/>
          <w:b w:val="false"/>
          <w:i w:val="false"/>
          <w:color w:val="000000"/>
          <w:sz w:val="28"/>
        </w:rPr>
        <w:t>
      8. Funds, receipt from provision of the paid types of activities on the sale of goods (works, services) of the Academy shall be spent in accordance with article 70 of the Budget Code of the Republic of Kazakhstan.</w:t>
      </w:r>
    </w:p>
    <w:p>
      <w:pPr>
        <w:spacing w:after="0"/>
        <w:ind w:left="0"/>
        <w:jc w:val="both"/>
      </w:pPr>
      <w:r>
        <w:rPr>
          <w:rFonts w:ascii="Times New Roman"/>
          <w:b w:val="false"/>
          <w:i w:val="false"/>
          <w:color w:val="000000"/>
          <w:sz w:val="28"/>
        </w:rPr>
        <w:t>
      9. Monetary funds received from the sale of goods (works, services) shall be spent in the following areas:</w:t>
      </w:r>
    </w:p>
    <w:p>
      <w:pPr>
        <w:spacing w:after="0"/>
        <w:ind w:left="0"/>
        <w:jc w:val="both"/>
      </w:pPr>
      <w:r>
        <w:rPr>
          <w:rFonts w:ascii="Times New Roman"/>
          <w:b w:val="false"/>
          <w:i w:val="false"/>
          <w:color w:val="000000"/>
          <w:sz w:val="28"/>
        </w:rPr>
        <w:t>
      1) strengthening the educational and material base;</w:t>
      </w:r>
    </w:p>
    <w:p>
      <w:pPr>
        <w:spacing w:after="0"/>
        <w:ind w:left="0"/>
        <w:jc w:val="both"/>
      </w:pPr>
      <w:r>
        <w:rPr>
          <w:rFonts w:ascii="Times New Roman"/>
          <w:b w:val="false"/>
          <w:i w:val="false"/>
          <w:color w:val="000000"/>
          <w:sz w:val="28"/>
        </w:rPr>
        <w:t>
      2) remuneration of the teaching staff, specialists and employees involved in the implementation of paid services and works;</w:t>
      </w:r>
    </w:p>
    <w:p>
      <w:pPr>
        <w:spacing w:after="0"/>
        <w:ind w:left="0"/>
        <w:jc w:val="both"/>
      </w:pPr>
      <w:r>
        <w:rPr>
          <w:rFonts w:ascii="Times New Roman"/>
          <w:b w:val="false"/>
          <w:i w:val="false"/>
          <w:color w:val="000000"/>
          <w:sz w:val="28"/>
        </w:rPr>
        <w:t>
      3) professional development of the teaching staff and specialists / employees;</w:t>
      </w:r>
    </w:p>
    <w:p>
      <w:pPr>
        <w:spacing w:after="0"/>
        <w:ind w:left="0"/>
        <w:jc w:val="both"/>
      </w:pPr>
      <w:r>
        <w:rPr>
          <w:rFonts w:ascii="Times New Roman"/>
          <w:b w:val="false"/>
          <w:i w:val="false"/>
          <w:color w:val="000000"/>
          <w:sz w:val="28"/>
        </w:rPr>
        <w:t>
      4) conducting educational trainings, seminars, conferences and round tables;</w:t>
      </w:r>
    </w:p>
    <w:p>
      <w:pPr>
        <w:spacing w:after="0"/>
        <w:ind w:left="0"/>
        <w:jc w:val="both"/>
      </w:pPr>
      <w:r>
        <w:rPr>
          <w:rFonts w:ascii="Times New Roman"/>
          <w:b w:val="false"/>
          <w:i w:val="false"/>
          <w:color w:val="000000"/>
          <w:sz w:val="28"/>
        </w:rPr>
        <w:t>
      5) purchase of consumables, equipment and software for scientific research and other activities;</w:t>
      </w:r>
    </w:p>
    <w:p>
      <w:pPr>
        <w:spacing w:after="0"/>
        <w:ind w:left="0"/>
        <w:jc w:val="both"/>
      </w:pPr>
      <w:r>
        <w:rPr>
          <w:rFonts w:ascii="Times New Roman"/>
          <w:b w:val="false"/>
          <w:i w:val="false"/>
          <w:color w:val="000000"/>
          <w:sz w:val="28"/>
        </w:rPr>
        <w:t>
      6) publication of scientific research results, including editing scientific papers, teaching aids;</w:t>
      </w:r>
    </w:p>
    <w:p>
      <w:pPr>
        <w:spacing w:after="0"/>
        <w:ind w:left="0"/>
        <w:jc w:val="both"/>
      </w:pPr>
      <w:r>
        <w:rPr>
          <w:rFonts w:ascii="Times New Roman"/>
          <w:b w:val="false"/>
          <w:i w:val="false"/>
          <w:color w:val="000000"/>
          <w:sz w:val="28"/>
        </w:rPr>
        <w:t>
      7) rental of premises, equipment and technology for training, research and related activities;</w:t>
      </w:r>
    </w:p>
    <w:p>
      <w:pPr>
        <w:spacing w:after="0"/>
        <w:ind w:left="0"/>
        <w:jc w:val="both"/>
      </w:pPr>
      <w:r>
        <w:rPr>
          <w:rFonts w:ascii="Times New Roman"/>
          <w:b w:val="false"/>
          <w:i w:val="false"/>
          <w:color w:val="000000"/>
          <w:sz w:val="28"/>
        </w:rPr>
        <w:t>
      8) holding coffee breaks, purchasing souvenirs, memorable gifts at conferences, seminars, round tables, contests, tournaments, competitions;</w:t>
      </w:r>
    </w:p>
    <w:p>
      <w:pPr>
        <w:spacing w:after="0"/>
        <w:ind w:left="0"/>
        <w:jc w:val="both"/>
      </w:pPr>
      <w:r>
        <w:rPr>
          <w:rFonts w:ascii="Times New Roman"/>
          <w:b w:val="false"/>
          <w:i w:val="false"/>
          <w:color w:val="000000"/>
          <w:sz w:val="28"/>
        </w:rPr>
        <w:t>
      9) business trips related to research, participation in scientific conferences, seminars, exhibitions and other events within the limits of the norms for reimbursement of travel expenses established by the legislation of the Republic of Kazakhstan;</w:t>
      </w:r>
    </w:p>
    <w:p>
      <w:pPr>
        <w:spacing w:after="0"/>
        <w:ind w:left="0"/>
        <w:jc w:val="both"/>
      </w:pPr>
      <w:r>
        <w:rPr>
          <w:rFonts w:ascii="Times New Roman"/>
          <w:b w:val="false"/>
          <w:i w:val="false"/>
          <w:color w:val="000000"/>
          <w:sz w:val="28"/>
        </w:rPr>
        <w:t>
      10) procurement of translation services;</w:t>
      </w:r>
    </w:p>
    <w:p>
      <w:pPr>
        <w:spacing w:after="0"/>
        <w:ind w:left="0"/>
        <w:jc w:val="both"/>
      </w:pPr>
      <w:r>
        <w:rPr>
          <w:rFonts w:ascii="Times New Roman"/>
          <w:b w:val="false"/>
          <w:i w:val="false"/>
          <w:color w:val="000000"/>
          <w:sz w:val="28"/>
        </w:rPr>
        <w:t>
      11) additional business expenses associated with the provision of paid services;</w:t>
      </w:r>
    </w:p>
    <w:p>
      <w:pPr>
        <w:spacing w:after="0"/>
        <w:ind w:left="0"/>
        <w:jc w:val="both"/>
      </w:pPr>
      <w:r>
        <w:rPr>
          <w:rFonts w:ascii="Times New Roman"/>
          <w:b w:val="false"/>
          <w:i w:val="false"/>
          <w:color w:val="000000"/>
          <w:sz w:val="28"/>
        </w:rPr>
        <w:t>
      12) establishment of allowances and additional payments, bonuses for employees, provision of social and material assistance to employees.</w:t>
      </w:r>
    </w:p>
    <w:p>
      <w:pPr>
        <w:spacing w:after="0"/>
        <w:ind w:left="0"/>
        <w:jc w:val="both"/>
      </w:pPr>
      <w:r>
        <w:rPr>
          <w:rFonts w:ascii="Times New Roman"/>
          <w:b w:val="false"/>
          <w:i w:val="false"/>
          <w:color w:val="000000"/>
          <w:sz w:val="28"/>
        </w:rPr>
        <w:t>
      10. Accounting for the receipt and expenditure of money received by the Academy from the sale of goods (works, services) is carried out in accordance with the procedure established by the Budget Code of the Republic of Kazakhstan.</w:t>
      </w:r>
    </w:p>
    <w:p>
      <w:pPr>
        <w:spacing w:after="0"/>
        <w:ind w:left="0"/>
        <w:jc w:val="left"/>
      </w:pPr>
      <w:r>
        <w:rPr>
          <w:rFonts w:ascii="Times New Roman"/>
          <w:b/>
          <w:i w:val="false"/>
          <w:color w:val="000000"/>
        </w:rPr>
        <w:t xml:space="preserve"> Chapter 4. Execution for money from the sale by the Academy of goods (works, services) remaining at its disposal</w:t>
      </w:r>
    </w:p>
    <w:p>
      <w:pPr>
        <w:spacing w:after="0"/>
        <w:ind w:left="0"/>
        <w:jc w:val="both"/>
      </w:pPr>
      <w:r>
        <w:rPr>
          <w:rFonts w:ascii="Times New Roman"/>
          <w:b w:val="false"/>
          <w:i w:val="false"/>
          <w:color w:val="000000"/>
          <w:sz w:val="28"/>
        </w:rPr>
        <w:t>
      11. To carry out operations at the expense of money from the sale by the Academy of goods (works, services) that remain at its disposal, the Academy annually draws up a plan of receipts and expenses of money from the sale of goods (works, services) by their types on the basis of the Classifier of the list of goods (works, services) state institutions supported by the republican or local budget, the money from the implementation of which remains at their disposal, approved by the order of the Minister of Finance of the Republic of Kazakhstan dated May 25, 2009 no. 215 (registered with the Register of State Registration of Regulatory Legal Acts under no. 5702).</w:t>
      </w:r>
    </w:p>
    <w:p>
      <w:pPr>
        <w:spacing w:after="0"/>
        <w:ind w:left="0"/>
        <w:jc w:val="both"/>
      </w:pPr>
      <w:r>
        <w:rPr>
          <w:rFonts w:ascii="Times New Roman"/>
          <w:b w:val="false"/>
          <w:i w:val="false"/>
          <w:color w:val="000000"/>
          <w:sz w:val="28"/>
        </w:rPr>
        <w:t>
      12. The plan of receipts and expenditures of money from the sale of goods (works, services) of the Academy that remain at its disposal is approved by the administrator of budget programs.</w:t>
      </w:r>
    </w:p>
    <w:p>
      <w:pPr>
        <w:spacing w:after="0"/>
        <w:ind w:left="0"/>
        <w:jc w:val="both"/>
      </w:pPr>
      <w:r>
        <w:rPr>
          <w:rFonts w:ascii="Times New Roman"/>
          <w:b w:val="false"/>
          <w:i w:val="false"/>
          <w:color w:val="000000"/>
          <w:sz w:val="28"/>
        </w:rPr>
        <w:t>
      13. The administrator of budget programs, on the basis of the plans for receipts and expenditures of money from the sale of goods (works, services) presented by the Academy, draws up a consolidated plan of receipts and expenditures of money from the sale of goods (works, services).</w:t>
      </w:r>
    </w:p>
    <w:p>
      <w:pPr>
        <w:spacing w:after="0"/>
        <w:ind w:left="0"/>
        <w:jc w:val="both"/>
      </w:pPr>
      <w:r>
        <w:rPr>
          <w:rFonts w:ascii="Times New Roman"/>
          <w:b w:val="false"/>
          <w:i w:val="false"/>
          <w:color w:val="000000"/>
          <w:sz w:val="28"/>
        </w:rPr>
        <w:t>
      The consolidated plan of receipts and expenditures of money from the sale by the Academy of goods (works, services) that remain at its disposal is approved by the administrator of budget programs and is agreed with the authorized body for budget execution.</w:t>
      </w:r>
    </w:p>
    <w:p>
      <w:pPr>
        <w:spacing w:after="0"/>
        <w:ind w:left="0"/>
        <w:jc w:val="both"/>
      </w:pPr>
      <w:r>
        <w:rPr>
          <w:rFonts w:ascii="Times New Roman"/>
          <w:b w:val="false"/>
          <w:i w:val="false"/>
          <w:color w:val="000000"/>
          <w:sz w:val="28"/>
        </w:rPr>
        <w:t>
      14. The approved plan of receipts and expenditures of money from the sale of goods (works, services) is submitted by the Academy to the authorized body for budget execution.</w:t>
      </w:r>
    </w:p>
    <w:p>
      <w:pPr>
        <w:spacing w:after="0"/>
        <w:ind w:left="0"/>
        <w:jc w:val="both"/>
      </w:pPr>
      <w:r>
        <w:rPr>
          <w:rFonts w:ascii="Times New Roman"/>
          <w:b w:val="false"/>
          <w:i w:val="false"/>
          <w:color w:val="000000"/>
          <w:sz w:val="28"/>
        </w:rPr>
        <w:t>
      The validity period of the approved plan of receipts and expenditures of money from the sale of goods (works, services) of the Academy, remaining at its disposal, ends on December 31 of the current financial year.</w:t>
      </w:r>
    </w:p>
    <w:p>
      <w:pPr>
        <w:spacing w:after="0"/>
        <w:ind w:left="0"/>
        <w:jc w:val="both"/>
      </w:pPr>
      <w:r>
        <w:rPr>
          <w:rFonts w:ascii="Times New Roman"/>
          <w:b w:val="false"/>
          <w:i w:val="false"/>
          <w:color w:val="000000"/>
          <w:sz w:val="28"/>
        </w:rPr>
        <w:t>
      15. Income, received during the financial year in excess of the amounts provided for by the plan of receipts and expenditures of money from the sale by the Academy of goods (works, services) remaining at its disposal may be spent in the current financial year, taking in account the clarification of the plan of receipts and expenditures of money from the sale of goods (works , services) by the end of the current financial year.</w:t>
      </w:r>
    </w:p>
    <w:p>
      <w:pPr>
        <w:spacing w:after="0"/>
        <w:ind w:left="0"/>
        <w:jc w:val="both"/>
      </w:pPr>
      <w:r>
        <w:rPr>
          <w:rFonts w:ascii="Times New Roman"/>
          <w:b w:val="false"/>
          <w:i w:val="false"/>
          <w:color w:val="000000"/>
          <w:sz w:val="28"/>
        </w:rPr>
        <w:t>
      16. The acquisition of goods (works, services) at the expense of money from the sale by the Academy of goods (works, services) remaining at its disposal is carried out in accordance with the legislation of the Republic of Kazakhstan on public procurement.</w:t>
      </w:r>
    </w:p>
    <w:p>
      <w:pPr>
        <w:spacing w:after="0"/>
        <w:ind w:left="0"/>
        <w:jc w:val="both"/>
      </w:pPr>
      <w:r>
        <w:rPr>
          <w:rFonts w:ascii="Times New Roman"/>
          <w:b w:val="false"/>
          <w:i w:val="false"/>
          <w:color w:val="000000"/>
          <w:sz w:val="28"/>
        </w:rPr>
        <w:t>
      17. Registration of civil transactions at the expense of money from the sale of the Academy of goods (works, services) remaining at its disposal is carried out in accordance with Article 96 of the Budget Code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к Rules for provision of paid </w:t>
            </w:r>
            <w:r>
              <w:br/>
            </w:r>
            <w:r>
              <w:rPr>
                <w:rFonts w:ascii="Times New Roman"/>
                <w:b w:val="false"/>
                <w:i w:val="false"/>
                <w:color w:val="000000"/>
                <w:sz w:val="20"/>
              </w:rPr>
              <w:t xml:space="preserve">types of activities on the sale of </w:t>
            </w:r>
            <w:r>
              <w:br/>
            </w:r>
            <w:r>
              <w:rPr>
                <w:rFonts w:ascii="Times New Roman"/>
                <w:b w:val="false"/>
                <w:i w:val="false"/>
                <w:color w:val="000000"/>
                <w:sz w:val="20"/>
              </w:rPr>
              <w:t xml:space="preserve">goods (works, services) by the </w:t>
            </w:r>
            <w:r>
              <w:br/>
            </w:r>
            <w:r>
              <w:rPr>
                <w:rFonts w:ascii="Times New Roman"/>
                <w:b w:val="false"/>
                <w:i w:val="false"/>
                <w:color w:val="000000"/>
                <w:sz w:val="20"/>
              </w:rPr>
              <w:t xml:space="preserve">Academy of Justice under the </w:t>
            </w:r>
            <w:r>
              <w:br/>
            </w:r>
            <w:r>
              <w:rPr>
                <w:rFonts w:ascii="Times New Roman"/>
                <w:b w:val="false"/>
                <w:i w:val="false"/>
                <w:color w:val="000000"/>
                <w:sz w:val="20"/>
              </w:rPr>
              <w:t xml:space="preserve">Supreme Court of the Republic of </w:t>
            </w:r>
            <w:r>
              <w:br/>
            </w:r>
            <w:r>
              <w:rPr>
                <w:rFonts w:ascii="Times New Roman"/>
                <w:b w:val="false"/>
                <w:i w:val="false"/>
                <w:color w:val="000000"/>
                <w:sz w:val="20"/>
              </w:rPr>
              <w:t>Kazakhstan (hereinafter referred to</w:t>
            </w:r>
            <w:r>
              <w:br/>
            </w:r>
            <w:r>
              <w:rPr>
                <w:rFonts w:ascii="Times New Roman"/>
                <w:b w:val="false"/>
                <w:i w:val="false"/>
                <w:color w:val="000000"/>
                <w:sz w:val="20"/>
              </w:rPr>
              <w:t xml:space="preserve"> as the Academy) and its spending </w:t>
            </w:r>
            <w:r>
              <w:br/>
            </w:r>
            <w:r>
              <w:rPr>
                <w:rFonts w:ascii="Times New Roman"/>
                <w:b w:val="false"/>
                <w:i w:val="false"/>
                <w:color w:val="000000"/>
                <w:sz w:val="20"/>
              </w:rPr>
              <w:t xml:space="preserve">money from the sale of goods </w:t>
            </w:r>
            <w:r>
              <w:br/>
            </w:r>
            <w:r>
              <w:rPr>
                <w:rFonts w:ascii="Times New Roman"/>
                <w:b w:val="false"/>
                <w:i w:val="false"/>
                <w:color w:val="000000"/>
                <w:sz w:val="20"/>
              </w:rPr>
              <w:t>(works,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Register of registration of applications of individuals and legal entities on provision of paid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applicant or surname, name, patronymic (if any) of his authorized representative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activity for the sale of goods (works, services) provided on a paid basis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name of attached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and signature of the responsible person, accepted the application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