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171e" w14:textId="4991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public service provision "Issuance of license for liquidation activities by means of destruction, disposal, dumping and processing of the released ammunition, weapons, military equipment, and special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Infrastructural Development of the Republic of Kazakhstan dated April 13, 2020 No. 197. Registered with the Ministry of Justice of the Republic of Kazakhstan on April 16, 2020 № 20414.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Article 10, subparagraph 1)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public service provision "Issuance of license for liquidation activities by means of destruction, disposal, dumping and processing of the released ammunition, weapons, military equipment, and special equipment ".</w:t>
      </w:r>
    </w:p>
    <w:p>
      <w:pPr>
        <w:spacing w:after="0"/>
        <w:ind w:left="0"/>
        <w:jc w:val="both"/>
      </w:pPr>
      <w:r>
        <w:rPr>
          <w:rFonts w:ascii="Times New Roman"/>
          <w:b w:val="false"/>
          <w:i w:val="false"/>
          <w:color w:val="000000"/>
          <w:sz w:val="28"/>
        </w:rPr>
        <w:t>
      2. In accordance with the procedure established by the legislation, the Department for the Development of the Military-Industrial Complex of the Ministry of Industry and Infrastructural Development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Industry and Infrastructural Development of the Republic of Kazakhstan after its official publication.</w:t>
      </w:r>
    </w:p>
    <w:p>
      <w:pPr>
        <w:spacing w:after="0"/>
        <w:ind w:left="0"/>
        <w:jc w:val="both"/>
      </w:pPr>
      <w:r>
        <w:rPr>
          <w:rFonts w:ascii="Times New Roman"/>
          <w:b w:val="false"/>
          <w:i w:val="false"/>
          <w:color w:val="000000"/>
          <w:sz w:val="28"/>
        </w:rPr>
        <w:t>
      3. Control over the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enter into force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Industry and Infrastructural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Development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Uskenbayev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of the Minister of Industry and</w:t>
            </w:r>
            <w:r>
              <w:br/>
            </w:r>
            <w:r>
              <w:rPr>
                <w:rFonts w:ascii="Times New Roman"/>
                <w:b w:val="false"/>
                <w:i w:val="false"/>
                <w:color w:val="000000"/>
                <w:sz w:val="20"/>
              </w:rPr>
              <w:t xml:space="preserve"> Infrastructural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April 13, 2020 № 197</w:t>
            </w:r>
          </w:p>
        </w:tc>
      </w:tr>
    </w:tbl>
    <w:p>
      <w:pPr>
        <w:spacing w:after="0"/>
        <w:ind w:left="0"/>
        <w:jc w:val="left"/>
      </w:pPr>
      <w:r>
        <w:rPr>
          <w:rFonts w:ascii="Times New Roman"/>
          <w:b/>
          <w:i w:val="false"/>
          <w:color w:val="000000"/>
        </w:rPr>
        <w:t xml:space="preserve"> On approval of Rules for public service provision </w:t>
      </w:r>
      <w:r>
        <w:br/>
      </w:r>
      <w:r>
        <w:rPr>
          <w:rFonts w:ascii="Times New Roman"/>
          <w:b/>
          <w:i w:val="false"/>
          <w:color w:val="000000"/>
        </w:rPr>
        <w:t xml:space="preserve">"Issuance of license for liquidation activities by means of destruction, disposal, dumping and </w:t>
      </w:r>
      <w:r>
        <w:br/>
      </w:r>
      <w:r>
        <w:rPr>
          <w:rFonts w:ascii="Times New Roman"/>
          <w:b/>
          <w:i w:val="false"/>
          <w:color w:val="000000"/>
        </w:rPr>
        <w:t>processing of the released ammunition, weapons, military equipment, and special equipment" Chapter 1. General provisions</w:t>
      </w:r>
    </w:p>
    <w:p>
      <w:pPr>
        <w:spacing w:after="0"/>
        <w:ind w:left="0"/>
        <w:jc w:val="both"/>
      </w:pPr>
      <w:r>
        <w:rPr>
          <w:rFonts w:ascii="Times New Roman"/>
          <w:b w:val="false"/>
          <w:i w:val="false"/>
          <w:color w:val="000000"/>
          <w:sz w:val="28"/>
        </w:rPr>
        <w:t>
      1. These Rules for the Provision of Public services "Issuance of license for liquidation activities by means of destruction, disposal, dumping and processing of the released ammunition, weapons, military equipment, and special equipment" (hereinafter referred to as the Rules) shall be developed according to Article 10, subparagraph 1) of the Law of the Republic of Kazakhstan dated April 15, 2013 "On public services" and shall define the procedure of public service provision "Issuance of license for liquidation activities by means of destruction, disposal, dumping and processing of the released ammunition, weapons, military equipment, and special equipment"</w:t>
      </w:r>
    </w:p>
    <w:p>
      <w:pPr>
        <w:spacing w:after="0"/>
        <w:ind w:left="0"/>
        <w:jc w:val="both"/>
      </w:pPr>
      <w:r>
        <w:rPr>
          <w:rFonts w:ascii="Times New Roman"/>
          <w:b w:val="false"/>
          <w:i w:val="false"/>
          <w:color w:val="000000"/>
          <w:sz w:val="28"/>
        </w:rPr>
        <w:t>
      2. The Rules shall apply to individuals and legal entities.</w:t>
      </w:r>
    </w:p>
    <w:p>
      <w:pPr>
        <w:spacing w:after="0"/>
        <w:ind w:left="0"/>
        <w:jc w:val="both"/>
      </w:pPr>
      <w:r>
        <w:rPr>
          <w:rFonts w:ascii="Times New Roman"/>
          <w:b w:val="false"/>
          <w:i w:val="false"/>
          <w:color w:val="000000"/>
          <w:sz w:val="28"/>
        </w:rPr>
        <w:t>
      3. Public service "Issuance of license for liquidation activities by means of destruction, disposal, dumping and processing of the released ammunition, weapons, military equipment, and special equipment" (hereinafter referred to as the public service) shall appear the Ministry of the Industry and Infrastructural Development of the Republic of Kazakhstan (hereinafter referred to as the service provider) according to these Rules.</w:t>
      </w:r>
    </w:p>
    <w:p>
      <w:pPr>
        <w:spacing w:after="0"/>
        <w:ind w:left="0"/>
        <w:jc w:val="both"/>
      </w:pPr>
      <w:r>
        <w:rPr>
          <w:rFonts w:ascii="Times New Roman"/>
          <w:b w:val="false"/>
          <w:i w:val="false"/>
          <w:color w:val="000000"/>
          <w:sz w:val="28"/>
        </w:rPr>
        <w:t>
      4. Public services shall be provided to service recipients on a paid basis. For the provision of public services, a license fee shall be charged for the right to engage in certain types in accordance with paragraph 6 of the list of basic requirements for the provision of public services “Issuance of license for liquidation activities by means of destruction, disposal, dumping and processing of the released ammunition, weapons, military equipment, and special equipment” (hereinafter referred to as the List), in accordance with the Code of the Republic of Kazakhstan dated December 25, 2017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acting Minister of Industry and Construction of the Republic of Kazakhstan dated 19.12.2023 № 136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public service provision </w:t>
      </w:r>
      <w:r>
        <w:br/>
      </w:r>
      <w:r>
        <w:rPr>
          <w:rFonts w:ascii="Times New Roman"/>
          <w:b/>
          <w:i w:val="false"/>
          <w:color w:val="000000"/>
        </w:rPr>
        <w:t xml:space="preserve">"Issuance of license for liquidation activities by means of destruction, disposal, dumping and </w:t>
      </w:r>
      <w:r>
        <w:br/>
      </w:r>
      <w:r>
        <w:rPr>
          <w:rFonts w:ascii="Times New Roman"/>
          <w:b/>
          <w:i w:val="false"/>
          <w:color w:val="000000"/>
        </w:rPr>
        <w:t>processing of the released ammunition, weapons, military equipment, and special equipment"</w:t>
      </w:r>
    </w:p>
    <w:p>
      <w:pPr>
        <w:spacing w:after="0"/>
        <w:ind w:left="0"/>
        <w:jc w:val="both"/>
      </w:pPr>
      <w:r>
        <w:rPr>
          <w:rFonts w:ascii="Times New Roman"/>
          <w:b w:val="false"/>
          <w:i w:val="false"/>
          <w:color w:val="000000"/>
          <w:sz w:val="28"/>
        </w:rPr>
        <w:t>
      5. An individual or legal entity (hereinafter referred to as the Service recipient), in order to receive a public service, shall send documents to the service provider through the “electronic government” web portal (hereinafter referred to as the Portal) in accordance with paragraph 8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acting Minister of Industry and Construction of the Republic of Kazakhstan dated 19.12.2023 № 136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shall register the documents and information specified in paragraph 5 of the Rules on the day of their receipt.</w:t>
      </w:r>
    </w:p>
    <w:p>
      <w:pPr>
        <w:spacing w:after="0"/>
        <w:ind w:left="0"/>
        <w:jc w:val="both"/>
      </w:pPr>
      <w:r>
        <w:rPr>
          <w:rFonts w:ascii="Times New Roman"/>
          <w:b w:val="false"/>
          <w:i w:val="false"/>
          <w:color w:val="000000"/>
          <w:sz w:val="28"/>
        </w:rPr>
        <w:t>
      In case of application after the end of working hours, on weekends and holidays according to the labor legislation of the Republic of Kazakhstan, the application shall be accepted and the result of the public service provision shall be issued during the next working day.</w:t>
      </w:r>
    </w:p>
    <w:p>
      <w:pPr>
        <w:spacing w:after="0"/>
        <w:ind w:left="0"/>
        <w:jc w:val="both"/>
      </w:pPr>
      <w:r>
        <w:rPr>
          <w:rFonts w:ascii="Times New Roman"/>
          <w:b w:val="false"/>
          <w:i w:val="false"/>
          <w:color w:val="000000"/>
          <w:sz w:val="28"/>
        </w:rPr>
        <w:t>
      When the service recipient submits all the necessary documents through the portal - in the "personal account" of the service recipient, the status of acceptance of the request for the provision of public service shall be displayed with the date of receipt of the result of the public service.</w:t>
      </w:r>
    </w:p>
    <w:p>
      <w:pPr>
        <w:spacing w:after="0"/>
        <w:ind w:left="0"/>
        <w:jc w:val="both"/>
      </w:pPr>
      <w:r>
        <w:rPr>
          <w:rFonts w:ascii="Times New Roman"/>
          <w:b w:val="false"/>
          <w:i w:val="false"/>
          <w:color w:val="000000"/>
          <w:sz w:val="28"/>
        </w:rPr>
        <w:t>
      Information of documents, on state registration (re-registration) of a legal entity, on state registration as an individual entrepreneur, on a license, confirmation of payment to the budget of the license contribution in case of payment through the payment gateway of the "electronic government" (hereinafter referred to as the PGEG), the service recipient shall receive from the relevant state information systems through the PGEG. The authorized body shall receive information on identity documents, state registration (re-registration) of a legal entity from the relevant state information systems through the gateway of "electronic government."</w:t>
      </w:r>
    </w:p>
    <w:p>
      <w:pPr>
        <w:spacing w:after="0"/>
        <w:ind w:left="0"/>
        <w:jc w:val="both"/>
      </w:pPr>
      <w:r>
        <w:rPr>
          <w:rFonts w:ascii="Times New Roman"/>
          <w:b w:val="false"/>
          <w:i w:val="false"/>
          <w:color w:val="000000"/>
          <w:sz w:val="28"/>
        </w:rPr>
        <w:t>
      7. Period of public service provision:</w:t>
      </w:r>
    </w:p>
    <w:p>
      <w:pPr>
        <w:spacing w:after="0"/>
        <w:ind w:left="0"/>
        <w:jc w:val="both"/>
      </w:pPr>
      <w:r>
        <w:rPr>
          <w:rFonts w:ascii="Times New Roman"/>
          <w:b w:val="false"/>
          <w:i w:val="false"/>
          <w:color w:val="000000"/>
          <w:sz w:val="28"/>
        </w:rPr>
        <w:t>
      1) when issuing a license and/or the annex to the license - 15 (fifteen) working days;</w:t>
      </w:r>
    </w:p>
    <w:p>
      <w:pPr>
        <w:spacing w:after="0"/>
        <w:ind w:left="0"/>
        <w:jc w:val="both"/>
      </w:pPr>
      <w:r>
        <w:rPr>
          <w:rFonts w:ascii="Times New Roman"/>
          <w:b w:val="false"/>
          <w:i w:val="false"/>
          <w:color w:val="000000"/>
          <w:sz w:val="28"/>
        </w:rPr>
        <w:t>
      2) upon re-issuance of the license and/or annex to the license - 3 (three) working days;</w:t>
      </w:r>
    </w:p>
    <w:p>
      <w:pPr>
        <w:spacing w:after="0"/>
        <w:ind w:left="0"/>
        <w:jc w:val="both"/>
      </w:pPr>
      <w:r>
        <w:rPr>
          <w:rFonts w:ascii="Times New Roman"/>
          <w:b w:val="false"/>
          <w:i w:val="false"/>
          <w:color w:val="000000"/>
          <w:sz w:val="28"/>
        </w:rPr>
        <w:t>
      3) upon re-issuance of the license and (or) annex to the license in case of reorganization of the service recipient in the form of allocation or separation - 15 (fifteen) working days;</w:t>
      </w:r>
    </w:p>
    <w:p>
      <w:pPr>
        <w:spacing w:after="0"/>
        <w:ind w:left="0"/>
        <w:jc w:val="both"/>
      </w:pPr>
      <w:r>
        <w:rPr>
          <w:rFonts w:ascii="Times New Roman"/>
          <w:b w:val="false"/>
          <w:i w:val="false"/>
          <w:color w:val="000000"/>
          <w:sz w:val="28"/>
        </w:rPr>
        <w:t>
      4) when issuing duplicate licenses and/or annexes to the license - 2 (two) working days.</w:t>
      </w:r>
    </w:p>
    <w:p>
      <w:pPr>
        <w:spacing w:after="0"/>
        <w:ind w:left="0"/>
        <w:jc w:val="both"/>
      </w:pPr>
      <w:r>
        <w:rPr>
          <w:rFonts w:ascii="Times New Roman"/>
          <w:b w:val="false"/>
          <w:i w:val="false"/>
          <w:color w:val="000000"/>
          <w:sz w:val="28"/>
        </w:rPr>
        <w:t>
      In cases of presentation by the service recipient an incomplete package of documents according to the list provided for in paragraph 5 of the Rules, the service recipient shall refuse to further consider the application within 2 (two) working days.</w:t>
      </w:r>
    </w:p>
    <w:p>
      <w:pPr>
        <w:spacing w:after="0"/>
        <w:ind w:left="0"/>
        <w:jc w:val="both"/>
      </w:pPr>
      <w:r>
        <w:rPr>
          <w:rFonts w:ascii="Times New Roman"/>
          <w:b w:val="false"/>
          <w:i w:val="false"/>
          <w:color w:val="000000"/>
          <w:sz w:val="28"/>
        </w:rPr>
        <w:t>
      8. If the service recipient submits the complete package of documents specified in paragraph 5 of the Rules:</w:t>
      </w:r>
    </w:p>
    <w:p>
      <w:pPr>
        <w:spacing w:after="0"/>
        <w:ind w:left="0"/>
        <w:jc w:val="both"/>
      </w:pPr>
      <w:r>
        <w:rPr>
          <w:rFonts w:ascii="Times New Roman"/>
          <w:b w:val="false"/>
          <w:i w:val="false"/>
          <w:color w:val="000000"/>
          <w:sz w:val="28"/>
        </w:rPr>
        <w:t>
      the service provider shall verify the reliability of the submitted documents and the compliance of the service recipient and/or the submitted documents with the requirements of these Rules;</w:t>
      </w:r>
    </w:p>
    <w:p>
      <w:pPr>
        <w:spacing w:after="0"/>
        <w:ind w:left="0"/>
        <w:jc w:val="both"/>
      </w:pPr>
      <w:r>
        <w:rPr>
          <w:rFonts w:ascii="Times New Roman"/>
          <w:b w:val="false"/>
          <w:i w:val="false"/>
          <w:color w:val="000000"/>
          <w:sz w:val="28"/>
        </w:rPr>
        <w:t>
      within 1 (one) working day from the date of receipt of the submitted documents to the service provider, a request shall be sent to the relevant public authority in the field of civil protection for approval, with the exception of re-issuance of the license and/or annex to the license and duplicate license and/or annex to the license.</w:t>
      </w:r>
    </w:p>
    <w:p>
      <w:pPr>
        <w:spacing w:after="0"/>
        <w:ind w:left="0"/>
        <w:jc w:val="both"/>
      </w:pPr>
      <w:r>
        <w:rPr>
          <w:rFonts w:ascii="Times New Roman"/>
          <w:b w:val="false"/>
          <w:i w:val="false"/>
          <w:color w:val="000000"/>
          <w:sz w:val="28"/>
        </w:rPr>
        <w:t>
      The public authority shall, on the basis of the request of the permitting authority, within ten working days send a response to the relevant permitting authority on compliance or non-conformity of the applicant with the requirements set out in the licensing or in the implementation of permitting procedures.</w:t>
      </w:r>
    </w:p>
    <w:p>
      <w:pPr>
        <w:spacing w:after="0"/>
        <w:ind w:left="0"/>
        <w:jc w:val="both"/>
      </w:pPr>
      <w:r>
        <w:rPr>
          <w:rFonts w:ascii="Times New Roman"/>
          <w:b w:val="false"/>
          <w:i w:val="false"/>
          <w:color w:val="000000"/>
          <w:sz w:val="28"/>
        </w:rPr>
        <w:t>
      If the authorities fail to respond within the prescribed time frame, the issuance of the permission shall be deemed to be agreed.</w:t>
      </w:r>
    </w:p>
    <w:p>
      <w:pPr>
        <w:spacing w:after="0"/>
        <w:ind w:left="0"/>
        <w:jc w:val="both"/>
      </w:pPr>
      <w:r>
        <w:rPr>
          <w:rFonts w:ascii="Times New Roman"/>
          <w:b w:val="false"/>
          <w:i w:val="false"/>
          <w:color w:val="000000"/>
          <w:sz w:val="28"/>
        </w:rPr>
        <w:t>
      9. Based on the results of the actions mentioned in paragraph 8 hereof, a license and (or) an annex to the license or a reissued license and (or) an annex to the license or a duplicate license and (or) an annex to the license shall be issued for the implementation of activities on liquidation by destruction, disposal, burial and processing of released ammunition, weapons, military equipment and special means.</w:t>
      </w:r>
    </w:p>
    <w:p>
      <w:pPr>
        <w:spacing w:after="0"/>
        <w:ind w:left="0"/>
        <w:jc w:val="both"/>
      </w:pPr>
      <w:r>
        <w:rPr>
          <w:rFonts w:ascii="Times New Roman"/>
          <w:b w:val="false"/>
          <w:i w:val="false"/>
          <w:color w:val="000000"/>
          <w:sz w:val="28"/>
        </w:rPr>
        <w:t>
      In case of revealing the grounds for refusal in rendering the public service, the service provider shall notify the service recipient of the preliminary decision on refusal in rendering the public service, as well as the time and place (method) of the hearing for the opportunity to express to the service recipient the position on the preliminary decision.</w:t>
      </w:r>
    </w:p>
    <w:p>
      <w:pPr>
        <w:spacing w:after="0"/>
        <w:ind w:left="0"/>
        <w:jc w:val="both"/>
      </w:pPr>
      <w:r>
        <w:rPr>
          <w:rFonts w:ascii="Times New Roman"/>
          <w:b w:val="false"/>
          <w:i w:val="false"/>
          <w:color w:val="000000"/>
          <w:sz w:val="28"/>
        </w:rPr>
        <w:t>
      A notification of the hearing shall be sent at least three (3) business days prior to the end of the term of rendering the public service. The hearing shall be held no later than 2 (two) business days from the date of notification.</w:t>
      </w:r>
    </w:p>
    <w:p>
      <w:pPr>
        <w:spacing w:after="0"/>
        <w:ind w:left="0"/>
        <w:jc w:val="both"/>
      </w:pPr>
      <w:r>
        <w:rPr>
          <w:rFonts w:ascii="Times New Roman"/>
          <w:b w:val="false"/>
          <w:i w:val="false"/>
          <w:color w:val="000000"/>
          <w:sz w:val="28"/>
        </w:rPr>
        <w:t>
      Following the results of the hearing, the service provider shall draw up a positive result or a motivated refusal in rendering the public service.</w:t>
      </w:r>
    </w:p>
    <w:p>
      <w:pPr>
        <w:spacing w:after="0"/>
        <w:ind w:left="0"/>
        <w:jc w:val="both"/>
      </w:pPr>
      <w:r>
        <w:rPr>
          <w:rFonts w:ascii="Times New Roman"/>
          <w:b w:val="false"/>
          <w:i w:val="false"/>
          <w:color w:val="000000"/>
          <w:sz w:val="28"/>
        </w:rPr>
        <w:t>
      The result of rendering the public service shall be sent to the personal profile of the service recipient in the form of an electronic document signed by an electronic digital signature (hereinafter - EDS) of the authorised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revised by order of the Minister of Industry and Infrastructure Development of the Republic of Kazakhstan № 189 dated 06.04.2022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grounds for refusal to provide public services established by the legislation of the Republic of Kazakhstan shall be indicated in paragraph 9 of the List.</w:t>
      </w:r>
    </w:p>
    <w:p>
      <w:pPr>
        <w:spacing w:after="0"/>
        <w:ind w:left="0"/>
        <w:jc w:val="both"/>
      </w:pPr>
      <w:r>
        <w:rPr>
          <w:rFonts w:ascii="Times New Roman"/>
          <w:b w:val="false"/>
          <w:i w:val="false"/>
          <w:color w:val="000000"/>
          <w:sz w:val="28"/>
        </w:rPr>
        <w:t>
      Grounds for re-issuing a license to carry out liquidation activities by means of destruction, disposal, dumping and processing of the released ammunition, weapons, military equipment, and special equipment and actions of the service provider in case of applying for re-issuance of the license:</w:t>
      </w:r>
    </w:p>
    <w:p>
      <w:pPr>
        <w:spacing w:after="0"/>
        <w:ind w:left="0"/>
        <w:jc w:val="both"/>
      </w:pPr>
      <w:r>
        <w:rPr>
          <w:rFonts w:ascii="Times New Roman"/>
          <w:b w:val="false"/>
          <w:i w:val="false"/>
          <w:color w:val="000000"/>
          <w:sz w:val="28"/>
        </w:rPr>
        <w:t>
      1) changes in the last name, first name, and patronymic (if any) of the individual licensee;</w:t>
      </w:r>
    </w:p>
    <w:p>
      <w:pPr>
        <w:spacing w:after="0"/>
        <w:ind w:left="0"/>
        <w:jc w:val="both"/>
      </w:pPr>
      <w:r>
        <w:rPr>
          <w:rFonts w:ascii="Times New Roman"/>
          <w:b w:val="false"/>
          <w:i w:val="false"/>
          <w:color w:val="000000"/>
          <w:sz w:val="28"/>
        </w:rPr>
        <w:t>
      2) re-registration of an individual entrepreneur-licensee, changing his name or legal address;</w:t>
      </w:r>
    </w:p>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w:t>
      </w:r>
    </w:p>
    <w:p>
      <w:pPr>
        <w:spacing w:after="0"/>
        <w:ind w:left="0"/>
        <w:jc w:val="both"/>
      </w:pPr>
      <w:r>
        <w:rPr>
          <w:rFonts w:ascii="Times New Roman"/>
          <w:b w:val="false"/>
          <w:i w:val="false"/>
          <w:color w:val="000000"/>
          <w:sz w:val="28"/>
        </w:rPr>
        <w:t>
      4) changes in the name and (or) location of the legal entity-licensee (if the address is indicated in the license);</w:t>
      </w:r>
    </w:p>
    <w:p>
      <w:pPr>
        <w:spacing w:after="0"/>
        <w:ind w:left="0"/>
        <w:jc w:val="both"/>
      </w:pPr>
      <w:r>
        <w:rPr>
          <w:rFonts w:ascii="Times New Roman"/>
          <w:b w:val="false"/>
          <w:i w:val="false"/>
          <w:color w:val="000000"/>
          <w:sz w:val="28"/>
        </w:rPr>
        <w:t>
      5) alienation by the licensee of a license issued under the class “permissions issued for objects”, together with the object in favor of third parties in cases where the alienation of a specific license is provided for in Annex 1 of the Law of the Republic of Kazakhstan “On Permissions and Notifications”;</w:t>
      </w:r>
    </w:p>
    <w:p>
      <w:pPr>
        <w:spacing w:after="0"/>
        <w:ind w:left="0"/>
        <w:jc w:val="both"/>
      </w:pPr>
      <w:r>
        <w:rPr>
          <w:rFonts w:ascii="Times New Roman"/>
          <w:b w:val="false"/>
          <w:i w:val="false"/>
          <w:color w:val="000000"/>
          <w:sz w:val="28"/>
        </w:rPr>
        <w:t>
      6) changing the address of the location of an object without physically moving it for a license issued under the class “permissions issued for objects” or applications to a license indicating objects;</w:t>
      </w:r>
    </w:p>
    <w:p>
      <w:pPr>
        <w:spacing w:after="0"/>
        <w:ind w:left="0"/>
        <w:jc w:val="both"/>
      </w:pPr>
      <w:r>
        <w:rPr>
          <w:rFonts w:ascii="Times New Roman"/>
          <w:b w:val="false"/>
          <w:i w:val="false"/>
          <w:color w:val="000000"/>
          <w:sz w:val="28"/>
        </w:rPr>
        <w:t>
      7) the presence of a requirement for re-registration in the laws of the Republic of Kazakhstan.</w:t>
      </w:r>
    </w:p>
    <w:p>
      <w:pPr>
        <w:spacing w:after="0"/>
        <w:ind w:left="0"/>
        <w:jc w:val="both"/>
      </w:pPr>
      <w:r>
        <w:rPr>
          <w:rFonts w:ascii="Times New Roman"/>
          <w:b w:val="false"/>
          <w:i w:val="false"/>
          <w:color w:val="000000"/>
          <w:sz w:val="28"/>
        </w:rPr>
        <w:t>
      The effects of subparagraphs 2), 4) and 6) of part two of this paragraph shall not apply to cases where changes in the legal address of an individual entrepreneur-licensee, the address of the location of the legal entity-licensee, the address of the location of the facility for a license issued under the class “permissions issued for objects”, or for applications to a license indicating objects occurred in connection with a change in the names of settlements, street names in accordance with the requirements of the Law of the Republic of Kazakhstan “On the administrative-territorial structure of the Republic of Kazakhstan”. Such changes in the address of licensees and the object of the license shall be carried out through the integration of government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order of the acting Minister of Industry and Construction of the Republic of Kazakhstan dated 19.12.2023 № 136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service provider shall ensure that data on the stage of provision of public services is entered into the information system for monitoring the provision of public services.</w:t>
      </w:r>
    </w:p>
    <w:p>
      <w:pPr>
        <w:spacing w:after="0"/>
        <w:ind w:left="0"/>
        <w:jc w:val="both"/>
      </w:pPr>
      <w:r>
        <w:rPr>
          <w:rFonts w:ascii="Times New Roman"/>
          <w:b w:val="false"/>
          <w:i w:val="false"/>
          <w:color w:val="000000"/>
          <w:sz w:val="28"/>
        </w:rPr>
        <w:t>
      When providing a public service through the state information system of permissions and notifications, data on the stage of provision of the public service enters automatically into the information system for monitoring the provision of public services.</w:t>
      </w:r>
    </w:p>
    <w:p>
      <w:pPr>
        <w:spacing w:after="0"/>
        <w:ind w:left="0"/>
        <w:jc w:val="both"/>
      </w:pPr>
      <w:r>
        <w:rPr>
          <w:rFonts w:ascii="Times New Roman"/>
          <w:b w:val="false"/>
          <w:i w:val="false"/>
          <w:color w:val="000000"/>
          <w:sz w:val="28"/>
        </w:rPr>
        <w:t>
      The authorized body, within three calendar days after the state registration of the subordinate regulatory state act, shall send information about the changes and (or) additions to these Rules that determine the procedure for the provision of public services to the service provider, the operator of the information and communication infrastructure of “electronic government” and to the Single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order of the acting Minister of Industry and Construction of the Republic of Kazakhstan dated December 19.12.2023 № 136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against decisions, actions (inaction) of the service provider on the issues of rendering public services</w:t>
      </w:r>
    </w:p>
    <w:p>
      <w:pPr>
        <w:spacing w:after="0"/>
        <w:ind w:left="0"/>
        <w:jc w:val="both"/>
      </w:pPr>
      <w:r>
        <w:rPr>
          <w:rFonts w:ascii="Times New Roman"/>
          <w:b w:val="false"/>
          <w:i w:val="false"/>
          <w:color w:val="ff0000"/>
          <w:sz w:val="28"/>
        </w:rPr>
        <w:t>
      Footnote. Chapter 3 - as reworded by order of the Minister of Industry and Infrastructural Development of the Republic of Kazakhstan №. 189 of 06.04.2022 (shall take effect upon the expiration of sixty calendar days after the date of its first official publication).</w:t>
      </w:r>
    </w:p>
    <w:p>
      <w:pPr>
        <w:spacing w:after="0"/>
        <w:ind w:left="0"/>
        <w:jc w:val="both"/>
      </w:pPr>
      <w:r>
        <w:rPr>
          <w:rFonts w:ascii="Times New Roman"/>
          <w:b w:val="false"/>
          <w:i w:val="false"/>
          <w:color w:val="000000"/>
          <w:sz w:val="28"/>
        </w:rPr>
        <w:t>
      12. A higher administrative body, an official, an authorised body for assessment and control over the quality of public services (hereinafter referred to as the body considering the complaint) shall consider the complaint regarding the provision of public services.</w:t>
      </w:r>
    </w:p>
    <w:p>
      <w:pPr>
        <w:spacing w:after="0"/>
        <w:ind w:left="0"/>
        <w:jc w:val="both"/>
      </w:pPr>
      <w:r>
        <w:rPr>
          <w:rFonts w:ascii="Times New Roman"/>
          <w:b w:val="false"/>
          <w:i w:val="false"/>
          <w:color w:val="000000"/>
          <w:sz w:val="28"/>
        </w:rPr>
        <w:t xml:space="preserve">
      The complaint shall be filed to the service provider and (or) to the official whose decision, action (inaction) is being appealed against. </w:t>
      </w:r>
    </w:p>
    <w:p>
      <w:pPr>
        <w:spacing w:after="0"/>
        <w:ind w:left="0"/>
        <w:jc w:val="both"/>
      </w:pPr>
      <w:r>
        <w:rPr>
          <w:rFonts w:ascii="Times New Roman"/>
          <w:b w:val="false"/>
          <w:i w:val="false"/>
          <w:color w:val="000000"/>
          <w:sz w:val="28"/>
        </w:rPr>
        <w:t xml:space="preserve">
      Not later than three business days from the day of receipt of the complaint, the service provider, the official whose decision, action (inaction) is being appealed shall forward it and the administrative file to the body reviewing the complaint. </w:t>
      </w:r>
    </w:p>
    <w:p>
      <w:pPr>
        <w:spacing w:after="0"/>
        <w:ind w:left="0"/>
        <w:jc w:val="both"/>
      </w:pPr>
      <w:r>
        <w:rPr>
          <w:rFonts w:ascii="Times New Roman"/>
          <w:b w:val="false"/>
          <w:i w:val="false"/>
          <w:color w:val="000000"/>
          <w:sz w:val="28"/>
        </w:rPr>
        <w:t>
      Herewith, the service provider, official, decision, action (inaction) being appealed shall not forward the complaint to the body considering the complaint, if within three business days it adopts a decision or other administrative action fully satisfying the requirements stated in the complaint.</w:t>
      </w:r>
    </w:p>
    <w:p>
      <w:pPr>
        <w:spacing w:after="0"/>
        <w:ind w:left="0"/>
        <w:jc w:val="both"/>
      </w:pPr>
      <w:r>
        <w:rPr>
          <w:rFonts w:ascii="Times New Roman"/>
          <w:b w:val="false"/>
          <w:i w:val="false"/>
          <w:color w:val="000000"/>
          <w:sz w:val="28"/>
        </w:rPr>
        <w:t>
      Pursuant to paragraph 2 of Article 25 of the Law, the service recipient's complaint filed with the service provider shall be reviewed within five business days from the date of its registration.</w:t>
      </w:r>
    </w:p>
    <w:p>
      <w:pPr>
        <w:spacing w:after="0"/>
        <w:ind w:left="0"/>
        <w:jc w:val="both"/>
      </w:pPr>
      <w:r>
        <w:rPr>
          <w:rFonts w:ascii="Times New Roman"/>
          <w:b w:val="false"/>
          <w:i w:val="false"/>
          <w:color w:val="000000"/>
          <w:sz w:val="28"/>
        </w:rPr>
        <w:t>
      The complaint of the service recipient, received by the competent authority for evaluation and control over the quality of public services shall be reviewed within 15 (fifteen) business days from the date of its registration.</w:t>
      </w:r>
    </w:p>
    <w:p>
      <w:pPr>
        <w:spacing w:after="0"/>
        <w:ind w:left="0"/>
        <w:jc w:val="both"/>
      </w:pPr>
      <w:r>
        <w:rPr>
          <w:rFonts w:ascii="Times New Roman"/>
          <w:b w:val="false"/>
          <w:i w:val="false"/>
          <w:color w:val="000000"/>
          <w:sz w:val="28"/>
        </w:rPr>
        <w:t>
      Except as otherwise envisaged by the law of the Republic of Kazakhstan, an appeal in court shall be allowed after an appeal in the administrative (pre-trial) procedure under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 xml:space="preserve">"Issuance of license for liquidation activities </w:t>
            </w:r>
            <w:r>
              <w:br/>
            </w:r>
            <w:r>
              <w:rPr>
                <w:rFonts w:ascii="Times New Roman"/>
                <w:b w:val="false"/>
                <w:i w:val="false"/>
                <w:color w:val="000000"/>
                <w:sz w:val="20"/>
              </w:rPr>
              <w:t xml:space="preserve">by means of destruction, disposal, dumping and </w:t>
            </w:r>
            <w:r>
              <w:br/>
            </w:r>
            <w:r>
              <w:rPr>
                <w:rFonts w:ascii="Times New Roman"/>
                <w:b w:val="false"/>
                <w:i w:val="false"/>
                <w:color w:val="000000"/>
                <w:sz w:val="20"/>
              </w:rPr>
              <w:t xml:space="preserve">processing of the released ammunition, weapons, </w:t>
            </w:r>
            <w:r>
              <w:br/>
            </w:r>
            <w:r>
              <w:rPr>
                <w:rFonts w:ascii="Times New Roman"/>
                <w:b w:val="false"/>
                <w:i w:val="false"/>
                <w:color w:val="000000"/>
                <w:sz w:val="20"/>
              </w:rPr>
              <w:t>military equipment, and special equipment"</w:t>
            </w:r>
          </w:p>
        </w:tc>
      </w:tr>
    </w:tbl>
    <w:bookmarkStart w:name="z54" w:id="0"/>
    <w:p>
      <w:pPr>
        <w:spacing w:after="0"/>
        <w:ind w:left="0"/>
        <w:jc w:val="left"/>
      </w:pPr>
      <w:r>
        <w:rPr>
          <w:rFonts w:ascii="Times New Roman"/>
          <w:b/>
          <w:i w:val="false"/>
          <w:color w:val="000000"/>
        </w:rPr>
        <w:t xml:space="preserve"> List of basic requirements for the provision of public services </w:t>
      </w:r>
      <w:r>
        <w:br/>
      </w:r>
      <w:r>
        <w:rPr>
          <w:rFonts w:ascii="Times New Roman"/>
          <w:b/>
          <w:i w:val="false"/>
          <w:color w:val="000000"/>
        </w:rPr>
        <w:t>“Issuance of license for liquidation activities by means of destruction, disposal, dumping and</w:t>
      </w:r>
      <w:r>
        <w:br/>
      </w:r>
      <w:r>
        <w:rPr>
          <w:rFonts w:ascii="Times New Roman"/>
          <w:b/>
          <w:i w:val="false"/>
          <w:color w:val="000000"/>
        </w:rPr>
        <w:t>processing of the released ammunition, weapons, military equipment, and special equipment”</w:t>
      </w:r>
    </w:p>
    <w:bookmarkEnd w:id="0"/>
    <w:p>
      <w:pPr>
        <w:spacing w:after="0"/>
        <w:ind w:left="0"/>
        <w:jc w:val="both"/>
      </w:pPr>
      <w:r>
        <w:rPr>
          <w:rFonts w:ascii="Times New Roman"/>
          <w:b w:val="false"/>
          <w:i w:val="false"/>
          <w:color w:val="ff0000"/>
          <w:sz w:val="28"/>
        </w:rPr>
        <w:t>
      Footnote. Appendix 1 - as amended by the Order of the Acting Minister of Industry and Construction of the Republic of Kazakhstan dated 19.12.2023 № 136 (effective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service “Issuance of license for liquidation activities by means of destruction, disposal, dumping and processing of the released ammunition, weapons, military equipment, and special equipment” </w:t>
            </w:r>
          </w:p>
          <w:p>
            <w:pPr>
              <w:spacing w:after="20"/>
              <w:ind w:left="20"/>
              <w:jc w:val="both"/>
            </w:pPr>
            <w:r>
              <w:rPr>
                <w:rFonts w:ascii="Times New Roman"/>
                <w:b w:val="false"/>
                <w:i w:val="false"/>
                <w:color w:val="000000"/>
                <w:sz w:val="20"/>
              </w:rPr>
              <w:t xml:space="preserve">Name of the subtype of the state service: </w:t>
            </w:r>
          </w:p>
          <w:p>
            <w:pPr>
              <w:spacing w:after="20"/>
              <w:ind w:left="20"/>
              <w:jc w:val="both"/>
            </w:pPr>
            <w:r>
              <w:rPr>
                <w:rFonts w:ascii="Times New Roman"/>
                <w:b w:val="false"/>
                <w:i w:val="false"/>
                <w:color w:val="000000"/>
                <w:sz w:val="20"/>
              </w:rPr>
              <w:t>
1. Liquidation by means of destruction, disposal, dumping and processing of the released ammunition;</w:t>
            </w:r>
          </w:p>
          <w:p>
            <w:pPr>
              <w:spacing w:after="20"/>
              <w:ind w:left="20"/>
              <w:jc w:val="both"/>
            </w:pPr>
            <w:r>
              <w:rPr>
                <w:rFonts w:ascii="Times New Roman"/>
                <w:b w:val="false"/>
                <w:i w:val="false"/>
                <w:color w:val="000000"/>
                <w:sz w:val="20"/>
              </w:rPr>
              <w:t>
2. Liquidation by means of destruction, disposal, dumping and processing of the released weapons, military equipment, and special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Construction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Applications shall be accepted and results shall be issued through: </w:t>
            </w:r>
          </w:p>
          <w:p>
            <w:pPr>
              <w:spacing w:after="20"/>
              <w:ind w:left="20"/>
              <w:jc w:val="both"/>
            </w:pPr>
            <w:r>
              <w:rPr>
                <w:rFonts w:ascii="Times New Roman"/>
                <w:b w:val="false"/>
                <w:i w:val="false"/>
                <w:color w:val="000000"/>
                <w:sz w:val="20"/>
              </w:rPr>
              <w:t>the “electronic government” web portal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when issuing a license and (or) annex to the license - 15 (fifteen) working days; </w:t>
            </w:r>
          </w:p>
          <w:p>
            <w:pPr>
              <w:spacing w:after="20"/>
              <w:ind w:left="20"/>
              <w:jc w:val="both"/>
            </w:pPr>
            <w:r>
              <w:rPr>
                <w:rFonts w:ascii="Times New Roman"/>
                <w:b w:val="false"/>
                <w:i w:val="false"/>
                <w:color w:val="000000"/>
                <w:sz w:val="20"/>
              </w:rPr>
              <w:t xml:space="preserve">2) when re-issuing a license and (or) annex to a license - 3 (three) working days; </w:t>
            </w:r>
          </w:p>
          <w:p>
            <w:pPr>
              <w:spacing w:after="20"/>
              <w:ind w:left="20"/>
              <w:jc w:val="both"/>
            </w:pPr>
            <w:r>
              <w:rPr>
                <w:rFonts w:ascii="Times New Roman"/>
                <w:b w:val="false"/>
                <w:i w:val="false"/>
                <w:color w:val="000000"/>
                <w:sz w:val="20"/>
              </w:rPr>
              <w:t xml:space="preserve">
3) when re-issuing a license and (or) annex to a license in case of reorganization of the service recipient in the form of separation or division - 15 (fifteen) working days; </w:t>
            </w:r>
          </w:p>
          <w:p>
            <w:pPr>
              <w:spacing w:after="20"/>
              <w:ind w:left="20"/>
              <w:jc w:val="both"/>
            </w:pPr>
            <w:r>
              <w:rPr>
                <w:rFonts w:ascii="Times New Roman"/>
                <w:b w:val="false"/>
                <w:i w:val="false"/>
                <w:color w:val="000000"/>
                <w:sz w:val="20"/>
              </w:rPr>
              <w:t>4) when issuing duplicates of a license and (or) annex to a license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(partially automated): </w:t>
            </w:r>
          </w:p>
          <w:p>
            <w:pPr>
              <w:spacing w:after="20"/>
              <w:ind w:left="20"/>
              <w:jc w:val="both"/>
            </w:pPr>
            <w:r>
              <w:rPr>
                <w:rFonts w:ascii="Times New Roman"/>
                <w:b w:val="false"/>
                <w:i w:val="false"/>
                <w:color w:val="000000"/>
                <w:sz w:val="20"/>
              </w:rPr>
              <w:t>1. Liquidation by means of destruction, disposal, dumping and processing of released ammunition;</w:t>
            </w:r>
          </w:p>
          <w:p>
            <w:pPr>
              <w:spacing w:after="20"/>
              <w:ind w:left="20"/>
              <w:jc w:val="both"/>
            </w:pPr>
            <w:r>
              <w:rPr>
                <w:rFonts w:ascii="Times New Roman"/>
                <w:b w:val="false"/>
                <w:i w:val="false"/>
                <w:color w:val="000000"/>
                <w:sz w:val="20"/>
              </w:rPr>
              <w:t>
2. Liquidation by means of destruction, disposal, dumping and processing of released weapons, military equipment, and special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the provision of public services shall be a license and (or) annex to a license, a reissued license and (or) annex to a license, a duplicate of a license and (or) annex to a license to carry out liquidation activities through the destruction, disposal, dumping and processing of released ammunition and weapons, military equipment, special equipment, or a reasoned response about the refusal to provide a public service in the cases and on the grounds provided for in paragraph 10 of the List. </w:t>
            </w:r>
          </w:p>
          <w:p>
            <w:pPr>
              <w:spacing w:after="20"/>
              <w:ind w:left="20"/>
              <w:jc w:val="both"/>
            </w:pPr>
            <w:r>
              <w:rPr>
                <w:rFonts w:ascii="Times New Roman"/>
                <w:b w:val="false"/>
                <w:i w:val="false"/>
                <w:color w:val="000000"/>
                <w:sz w:val="20"/>
              </w:rPr>
              <w:t>Form for providing the result of the provision of public services: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provision of public services, a license fee shall be charged for the right to engage in certain types of activities: </w:t>
            </w:r>
          </w:p>
          <w:p>
            <w:pPr>
              <w:spacing w:after="20"/>
              <w:ind w:left="20"/>
              <w:jc w:val="both"/>
            </w:pPr>
            <w:r>
              <w:rPr>
                <w:rFonts w:ascii="Times New Roman"/>
                <w:b w:val="false"/>
                <w:i w:val="false"/>
                <w:color w:val="000000"/>
                <w:sz w:val="20"/>
              </w:rPr>
              <w:t xml:space="preserve">1) when issuing a license - 22 monthly calculation indices (hereinafter - MCI); </w:t>
            </w:r>
          </w:p>
          <w:p>
            <w:pPr>
              <w:spacing w:after="20"/>
              <w:ind w:left="20"/>
              <w:jc w:val="both"/>
            </w:pPr>
            <w:r>
              <w:rPr>
                <w:rFonts w:ascii="Times New Roman"/>
                <w:b w:val="false"/>
                <w:i w:val="false"/>
                <w:color w:val="000000"/>
                <w:sz w:val="20"/>
              </w:rPr>
              <w:t xml:space="preserve">
2) for re-issuing a license - 10% of the rate when issuing a license; </w:t>
            </w:r>
          </w:p>
          <w:p>
            <w:pPr>
              <w:spacing w:after="20"/>
              <w:ind w:left="20"/>
              <w:jc w:val="both"/>
            </w:pPr>
            <w:r>
              <w:rPr>
                <w:rFonts w:ascii="Times New Roman"/>
                <w:b w:val="false"/>
                <w:i w:val="false"/>
                <w:color w:val="000000"/>
                <w:sz w:val="20"/>
              </w:rPr>
              <w:t>
3) for issuing a duplicate license – 100% of the rate when issuing a license. Payment of the license fee shall be carried out non-cash through second-tier banks or organizations that carry out certain types of banking operations, and payment may also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from Monday to Friday, from 9 a.m. to 6 p.m., except weekends and holidays, in accordance with the labor legislation of the Republic of Kazakhstan; </w:t>
            </w:r>
          </w:p>
          <w:p>
            <w:pPr>
              <w:spacing w:after="20"/>
              <w:ind w:left="20"/>
              <w:jc w:val="both"/>
            </w:pPr>
            <w:r>
              <w:rPr>
                <w:rFonts w:ascii="Times New Roman"/>
                <w:b w:val="false"/>
                <w:i w:val="false"/>
                <w:color w:val="000000"/>
                <w:sz w:val="20"/>
              </w:rPr>
              <w:t>2) portal - around the clock, except for technical breaks due to repair work (when the service recipient contacts after the end of working hours, on weekends and holidays in accordance with the labor legislation of the Republic of Kazakhstan, the application shall be accepted and the result of the provision of public services is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the “electronic government” portal </w:t>
            </w:r>
          </w:p>
          <w:p>
            <w:pPr>
              <w:spacing w:after="20"/>
              <w:ind w:left="20"/>
              <w:jc w:val="both"/>
            </w:pPr>
            <w:r>
              <w:rPr>
                <w:rFonts w:ascii="Times New Roman"/>
                <w:b w:val="false"/>
                <w:i w:val="false"/>
                <w:color w:val="000000"/>
                <w:sz w:val="20"/>
              </w:rPr>
              <w:t xml:space="preserve">1) to obtain a license for subtypes of activity: </w:t>
            </w:r>
          </w:p>
          <w:p>
            <w:pPr>
              <w:spacing w:after="20"/>
              <w:ind w:left="20"/>
              <w:jc w:val="both"/>
            </w:pPr>
            <w:r>
              <w:rPr>
                <w:rFonts w:ascii="Times New Roman"/>
                <w:b w:val="false"/>
                <w:i w:val="false"/>
                <w:color w:val="000000"/>
                <w:sz w:val="20"/>
              </w:rPr>
              <w:t>
1. Liquidation by means of destruction, disposal, dumping and processing of released ammunition;</w:t>
            </w:r>
          </w:p>
          <w:p>
            <w:pPr>
              <w:spacing w:after="20"/>
              <w:ind w:left="20"/>
              <w:jc w:val="both"/>
            </w:pPr>
            <w:r>
              <w:rPr>
                <w:rFonts w:ascii="Times New Roman"/>
                <w:b w:val="false"/>
                <w:i w:val="false"/>
                <w:color w:val="000000"/>
                <w:sz w:val="20"/>
              </w:rPr>
              <w:t xml:space="preserve">
2. Liquidation by means of destruction, disposal, dumping and processing of released weapons, military equipment, or special equipment: an application from an individual to obtain a license or an application from a legal entity to obtain a license; an electronic copy of a document confirming payment to the budget of the license fee for the right to engage in certain types of activities, for except for cases of payment through Payment gateway of electronic government; </w:t>
            </w:r>
          </w:p>
          <w:p>
            <w:pPr>
              <w:spacing w:after="20"/>
              <w:ind w:left="20"/>
              <w:jc w:val="both"/>
            </w:pPr>
            <w:r>
              <w:rPr>
                <w:rFonts w:ascii="Times New Roman"/>
                <w:b w:val="false"/>
                <w:i w:val="false"/>
                <w:color w:val="000000"/>
                <w:sz w:val="20"/>
              </w:rPr>
              <w:t xml:space="preserve">
an electronic copy of documents in accordance with the Qualification requirements for carrying out activities for the liquidation (destruction, disposal, dumping) and processing of released ammunition, weapons, military equipment, special equipment and a list of documents confirming compliance with them, approved by order of the Minister of Digital Development, Defense and Aerospace Industry of the Republic of Kazakhstan dated April 24, 2019 № 54/НК (registered in the State Register of Normative Legal Acts under № 18605) (hereinafter referred to as the Qualification Requirements). </w:t>
            </w:r>
          </w:p>
          <w:p>
            <w:pPr>
              <w:spacing w:after="20"/>
              <w:ind w:left="20"/>
              <w:jc w:val="both"/>
            </w:pPr>
            <w:r>
              <w:rPr>
                <w:rFonts w:ascii="Times New Roman"/>
                <w:b w:val="false"/>
                <w:i w:val="false"/>
                <w:color w:val="000000"/>
                <w:sz w:val="20"/>
              </w:rPr>
              <w:t>2) for re-issuance of a license and (or) annex to the license: an application from an individual for re-issuance of a license or an application from a legal entity for re-issuance of a license; an electronic copy of a document confirming payment to the budget of the license fee for the right to engage in certain types of activities, except for cases of payment through Payment gateway of electronic government;</w:t>
            </w:r>
          </w:p>
          <w:p>
            <w:pPr>
              <w:spacing w:after="20"/>
              <w:ind w:left="20"/>
              <w:jc w:val="both"/>
            </w:pPr>
            <w:r>
              <w:rPr>
                <w:rFonts w:ascii="Times New Roman"/>
                <w:b w:val="false"/>
                <w:i w:val="false"/>
                <w:color w:val="000000"/>
                <w:sz w:val="20"/>
              </w:rPr>
              <w:t xml:space="preserve">
an electronic copy of documents containing information about changes that served as the basis for re-issuing a license and (or) annex to a license, except for documents information about which is contained in state information systems; </w:t>
            </w:r>
          </w:p>
          <w:p>
            <w:pPr>
              <w:spacing w:after="20"/>
              <w:ind w:left="20"/>
              <w:jc w:val="both"/>
            </w:pPr>
            <w:r>
              <w:rPr>
                <w:rFonts w:ascii="Times New Roman"/>
                <w:b w:val="false"/>
                <w:i w:val="false"/>
                <w:color w:val="000000"/>
                <w:sz w:val="20"/>
              </w:rPr>
              <w:t xml:space="preserve">
3) to obtain a duplicate of a license and (or) annex to a license, if it is not possible to obtain information about the license from the relevant information systems: a request in the form of an electronic document certified by the digital signature of the service recipient ; </w:t>
            </w:r>
          </w:p>
          <w:p>
            <w:pPr>
              <w:spacing w:after="20"/>
              <w:ind w:left="20"/>
              <w:jc w:val="both"/>
            </w:pPr>
            <w:r>
              <w:rPr>
                <w:rFonts w:ascii="Times New Roman"/>
                <w:b w:val="false"/>
                <w:i w:val="false"/>
                <w:color w:val="000000"/>
                <w:sz w:val="20"/>
              </w:rPr>
              <w:t>an electronic copy of a document confirming payment to the budget of the license fee for the right to engage in certain types of activities, except for cases of payment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engaging in an activity prohibited by the laws of the Republic of Kazakhstan for this category of individuals or legal entities; </w:t>
            </w:r>
          </w:p>
          <w:p>
            <w:pPr>
              <w:spacing w:after="20"/>
              <w:ind w:left="20"/>
              <w:jc w:val="both"/>
            </w:pPr>
            <w:r>
              <w:rPr>
                <w:rFonts w:ascii="Times New Roman"/>
                <w:b w:val="false"/>
                <w:i w:val="false"/>
                <w:color w:val="000000"/>
                <w:sz w:val="20"/>
              </w:rPr>
              <w:t xml:space="preserve">2) the license fee has not been paid; </w:t>
            </w:r>
          </w:p>
          <w:p>
            <w:pPr>
              <w:spacing w:after="20"/>
              <w:ind w:left="20"/>
              <w:jc w:val="both"/>
            </w:pPr>
            <w:r>
              <w:rPr>
                <w:rFonts w:ascii="Times New Roman"/>
                <w:b w:val="false"/>
                <w:i w:val="false"/>
                <w:color w:val="000000"/>
                <w:sz w:val="20"/>
              </w:rPr>
              <w:t xml:space="preserve">
3) the service recipient does not meet the Qualification Requirements; </w:t>
            </w:r>
          </w:p>
          <w:p>
            <w:pPr>
              <w:spacing w:after="20"/>
              <w:ind w:left="20"/>
              <w:jc w:val="both"/>
            </w:pPr>
            <w:r>
              <w:rPr>
                <w:rFonts w:ascii="Times New Roman"/>
                <w:b w:val="false"/>
                <w:i w:val="false"/>
                <w:color w:val="000000"/>
                <w:sz w:val="20"/>
              </w:rPr>
              <w:t xml:space="preserve">4) the response of the state body about the service recipient’s non-compliance with the requirements presented during licensing or when carrying out permitting procedures; </w:t>
            </w:r>
          </w:p>
          <w:p>
            <w:pPr>
              <w:spacing w:after="20"/>
              <w:ind w:left="20"/>
              <w:jc w:val="both"/>
            </w:pPr>
            <w:r>
              <w:rPr>
                <w:rFonts w:ascii="Times New Roman"/>
                <w:b w:val="false"/>
                <w:i w:val="false"/>
                <w:color w:val="000000"/>
                <w:sz w:val="20"/>
              </w:rPr>
              <w:t xml:space="preserve">5) concerning the service recipient there is a court decision (sentence) that has entered into legal force on the suspension or prohibition of activities, or certain types of activities subject to licensing; </w:t>
            </w:r>
          </w:p>
          <w:p>
            <w:pPr>
              <w:spacing w:after="20"/>
              <w:ind w:left="20"/>
              <w:jc w:val="both"/>
            </w:pPr>
            <w:r>
              <w:rPr>
                <w:rFonts w:ascii="Times New Roman"/>
                <w:b w:val="false"/>
                <w:i w:val="false"/>
                <w:color w:val="000000"/>
                <w:sz w:val="20"/>
              </w:rPr>
              <w:t xml:space="preserve">6) the court, based on the presentation of the bailiff, is temporarily prohibited from issuing a license to the service recipient -debtor; </w:t>
            </w:r>
          </w:p>
          <w:p>
            <w:pPr>
              <w:spacing w:after="20"/>
              <w:ind w:left="20"/>
              <w:jc w:val="both"/>
            </w:pPr>
            <w:r>
              <w:rPr>
                <w:rFonts w:ascii="Times New Roman"/>
                <w:b w:val="false"/>
                <w:i w:val="false"/>
                <w:color w:val="000000"/>
                <w:sz w:val="20"/>
              </w:rPr>
              <w:t>7) the unreliability of the documents submitted by the applicant to obtain a license and (or) the data (information) contained in them has been established.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Addresses for the provision of public services shall be posted on the Internet resource of the service provider – www.mdai.gov.kz. </w:t>
            </w:r>
          </w:p>
          <w:p>
            <w:pPr>
              <w:spacing w:after="20"/>
              <w:ind w:left="20"/>
              <w:jc w:val="both"/>
            </w:pPr>
            <w:r>
              <w:rPr>
                <w:rFonts w:ascii="Times New Roman"/>
                <w:b w:val="false"/>
                <w:i w:val="false"/>
                <w:color w:val="000000"/>
                <w:sz w:val="20"/>
              </w:rPr>
              <w:t xml:space="preserve">2. The service recipient has the opportunity to receive public services in electronic form through the portal, subject to the availability of an electronic signature. </w:t>
            </w:r>
          </w:p>
          <w:p>
            <w:pPr>
              <w:spacing w:after="20"/>
              <w:ind w:left="20"/>
              <w:jc w:val="both"/>
            </w:pPr>
            <w:r>
              <w:rPr>
                <w:rFonts w:ascii="Times New Roman"/>
                <w:b w:val="false"/>
                <w:i w:val="false"/>
                <w:color w:val="000000"/>
                <w:sz w:val="20"/>
              </w:rPr>
              <w:t xml:space="preserve">3. The service recipient has the opportunity to obtain information about the procedure and status of the provision of public services in remote access mode through the “personal account” of the portal, as well as a single contact center for the provision of public services. </w:t>
            </w:r>
          </w:p>
          <w:p>
            <w:pPr>
              <w:spacing w:after="20"/>
              <w:ind w:left="20"/>
              <w:jc w:val="both"/>
            </w:pPr>
            <w:r>
              <w:rPr>
                <w:rFonts w:ascii="Times New Roman"/>
                <w:b w:val="false"/>
                <w:i w:val="false"/>
                <w:color w:val="000000"/>
                <w:sz w:val="20"/>
              </w:rPr>
              <w:t>4. Contact telephone numbers of help desks regarding the provision of public services: 8 (7172) 74-94-48, a single contact center for the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List of basic requirements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“Issuance of license for liquidation </w:t>
            </w:r>
            <w:r>
              <w:br/>
            </w:r>
            <w:r>
              <w:rPr>
                <w:rFonts w:ascii="Times New Roman"/>
                <w:b w:val="false"/>
                <w:i w:val="false"/>
                <w:color w:val="000000"/>
                <w:sz w:val="20"/>
              </w:rPr>
              <w:t xml:space="preserve">activities by means of destruction, disposal, </w:t>
            </w:r>
            <w:r>
              <w:br/>
            </w:r>
            <w:r>
              <w:rPr>
                <w:rFonts w:ascii="Times New Roman"/>
                <w:b w:val="false"/>
                <w:i w:val="false"/>
                <w:color w:val="000000"/>
                <w:sz w:val="20"/>
              </w:rPr>
              <w:t xml:space="preserve">dumping and processing of the released </w:t>
            </w:r>
            <w:r>
              <w:br/>
            </w:r>
            <w:r>
              <w:rPr>
                <w:rFonts w:ascii="Times New Roman"/>
                <w:b w:val="false"/>
                <w:i w:val="false"/>
                <w:color w:val="000000"/>
                <w:sz w:val="20"/>
              </w:rPr>
              <w:t xml:space="preserve">ammunition, weapons, military equipment, </w:t>
            </w:r>
            <w:r>
              <w:br/>
            </w:r>
            <w:r>
              <w:rPr>
                <w:rFonts w:ascii="Times New Roman"/>
                <w:b w:val="false"/>
                <w:i w:val="false"/>
                <w:color w:val="000000"/>
                <w:sz w:val="20"/>
              </w:rPr>
              <w:t>and special equipment”</w:t>
            </w:r>
          </w:p>
        </w:tc>
      </w:tr>
    </w:tbl>
    <w:bookmarkStart w:name="z56" w:id="1"/>
    <w:p>
      <w:pPr>
        <w:spacing w:after="0"/>
        <w:ind w:left="0"/>
        <w:jc w:val="both"/>
      </w:pPr>
      <w:r>
        <w:rPr>
          <w:rFonts w:ascii="Times New Roman"/>
          <w:b w:val="false"/>
          <w:i w:val="false"/>
          <w:color w:val="000000"/>
          <w:sz w:val="28"/>
        </w:rPr>
        <w:t>
      Form</w:t>
      </w:r>
    </w:p>
    <w:bookmarkEnd w:id="1"/>
    <w:p>
      <w:pPr>
        <w:spacing w:after="0"/>
        <w:ind w:left="0"/>
        <w:jc w:val="left"/>
      </w:pPr>
      <w:r>
        <w:rPr>
          <w:rFonts w:ascii="Times New Roman"/>
          <w:b/>
          <w:i w:val="false"/>
          <w:color w:val="000000"/>
        </w:rPr>
        <w:t xml:space="preserve"> Application of an individual for license acquisition and/or annex to the license</w:t>
      </w:r>
    </w:p>
    <w:bookmarkStart w:name="z58" w:id="2"/>
    <w:p>
      <w:pPr>
        <w:spacing w:after="0"/>
        <w:ind w:left="0"/>
        <w:jc w:val="both"/>
      </w:pPr>
      <w:r>
        <w:rPr>
          <w:rFonts w:ascii="Times New Roman"/>
          <w:b w:val="false"/>
          <w:i w:val="false"/>
          <w:color w:val="000000"/>
          <w:sz w:val="28"/>
        </w:rPr>
        <w:t xml:space="preserve">
      To _________________________________________________________________ </w:t>
      </w:r>
    </w:p>
    <w:bookmarkEnd w:id="2"/>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from 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of an individual, individual identification number) </w:t>
      </w:r>
    </w:p>
    <w:p>
      <w:pPr>
        <w:spacing w:after="0"/>
        <w:ind w:left="0"/>
        <w:jc w:val="both"/>
      </w:pPr>
      <w:r>
        <w:rPr>
          <w:rFonts w:ascii="Times New Roman"/>
          <w:b w:val="false"/>
          <w:i w:val="false"/>
          <w:color w:val="000000"/>
          <w:sz w:val="28"/>
        </w:rPr>
        <w:t>
      I hereby request to issue a license and (or) annex to the license to carry out 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the full name of the type of activity and (or) subtype(s) of activity) </w:t>
      </w:r>
    </w:p>
    <w:p>
      <w:pPr>
        <w:spacing w:after="0"/>
        <w:ind w:left="0"/>
        <w:jc w:val="both"/>
      </w:pPr>
      <w:r>
        <w:rPr>
          <w:rFonts w:ascii="Times New Roman"/>
          <w:b w:val="false"/>
          <w:i w:val="false"/>
          <w:color w:val="000000"/>
          <w:sz w:val="28"/>
        </w:rPr>
        <w:t xml:space="preserve">
      Address of residence of an individual 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w:t>
      </w:r>
    </w:p>
    <w:p>
      <w:pPr>
        <w:spacing w:after="0"/>
        <w:ind w:left="0"/>
        <w:jc w:val="both"/>
      </w:pPr>
      <w:r>
        <w:rPr>
          <w:rFonts w:ascii="Times New Roman"/>
          <w:b w:val="false"/>
          <w:i w:val="false"/>
          <w:color w:val="000000"/>
          <w:sz w:val="28"/>
        </w:rPr>
        <w:t>
      Email ______________________________________________________________</w:t>
      </w:r>
    </w:p>
    <w:p>
      <w:pPr>
        <w:spacing w:after="0"/>
        <w:ind w:left="0"/>
        <w:jc w:val="both"/>
      </w:pPr>
      <w:r>
        <w:rPr>
          <w:rFonts w:ascii="Times New Roman"/>
          <w:b w:val="false"/>
          <w:i w:val="false"/>
          <w:color w:val="000000"/>
          <w:sz w:val="28"/>
        </w:rPr>
        <w:t xml:space="preserve">
      Telephone numbers ___________________________________________________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Address of the object of activity or action (operations)________________________</w:t>
      </w:r>
    </w:p>
    <w:p>
      <w:pPr>
        <w:spacing w:after="0"/>
        <w:ind w:left="0"/>
        <w:jc w:val="both"/>
      </w:pPr>
      <w:r>
        <w:rPr>
          <w:rFonts w:ascii="Times New Roman"/>
          <w:b w:val="false"/>
          <w:i w:val="false"/>
          <w:color w:val="000000"/>
          <w:sz w:val="28"/>
        </w:rPr>
        <w:t xml:space="preserve">
      (postal code, region, city, district, locality, street name, house/building number (stationary premises) _____ sheets are attached. </w:t>
      </w:r>
    </w:p>
    <w:p>
      <w:pPr>
        <w:spacing w:after="0"/>
        <w:ind w:left="0"/>
        <w:jc w:val="both"/>
      </w:pPr>
      <w:r>
        <w:rPr>
          <w:rFonts w:ascii="Times New Roman"/>
          <w:b w:val="false"/>
          <w:i w:val="false"/>
          <w:color w:val="000000"/>
          <w:sz w:val="28"/>
        </w:rPr>
        <w:t xml:space="preserve">
      It is hereby confirmed that: </w:t>
      </w:r>
    </w:p>
    <w:p>
      <w:pPr>
        <w:spacing w:after="0"/>
        <w:ind w:left="0"/>
        <w:jc w:val="both"/>
      </w:pPr>
      <w:r>
        <w:rPr>
          <w:rFonts w:ascii="Times New Roman"/>
          <w:b w:val="false"/>
          <w:i w:val="false"/>
          <w:color w:val="000000"/>
          <w:sz w:val="28"/>
        </w:rPr>
        <w:t xml:space="preserve">
      all specified data are official contacts and any information may be sent to them on issues of issuing or refusing to issue a license and (or) annex to the license; </w:t>
      </w:r>
    </w:p>
    <w:p>
      <w:pPr>
        <w:spacing w:after="0"/>
        <w:ind w:left="0"/>
        <w:jc w:val="both"/>
      </w:pPr>
      <w:r>
        <w:rPr>
          <w:rFonts w:ascii="Times New Roman"/>
          <w:b w:val="false"/>
          <w:i w:val="false"/>
          <w:color w:val="000000"/>
          <w:sz w:val="28"/>
        </w:rPr>
        <w:t xml:space="preserve">
      the applicant is not prohibited by the court from engaging in a licensed type and (or) subtype of activity; </w:t>
      </w:r>
    </w:p>
    <w:p>
      <w:pPr>
        <w:spacing w:after="0"/>
        <w:ind w:left="0"/>
        <w:jc w:val="both"/>
      </w:pPr>
      <w:r>
        <w:rPr>
          <w:rFonts w:ascii="Times New Roman"/>
          <w:b w:val="false"/>
          <w:i w:val="false"/>
          <w:color w:val="000000"/>
          <w:sz w:val="28"/>
        </w:rPr>
        <w:t xml:space="preserve">
      all attached documents are valid; </w:t>
      </w:r>
    </w:p>
    <w:p>
      <w:pPr>
        <w:spacing w:after="0"/>
        <w:ind w:left="0"/>
        <w:jc w:val="both"/>
      </w:pPr>
      <w:r>
        <w:rPr>
          <w:rFonts w:ascii="Times New Roman"/>
          <w:b w:val="false"/>
          <w:i w:val="false"/>
          <w:color w:val="000000"/>
          <w:sz w:val="28"/>
        </w:rPr>
        <w:t xml:space="preserve">
      the applicant agrees to the use of limited access personal data that constitutes a secret protected by law, contained in information systems, when issuing a license and (or) annex to the license; the applicant agrees to have the application certified by an electronic digital signature of an employee of the public service center (in case of application through the public service center). </w:t>
      </w:r>
    </w:p>
    <w:p>
      <w:pPr>
        <w:spacing w:after="0"/>
        <w:ind w:left="0"/>
        <w:jc w:val="both"/>
      </w:pPr>
      <w:r>
        <w:rPr>
          <w:rFonts w:ascii="Times New Roman"/>
          <w:b w:val="false"/>
          <w:i w:val="false"/>
          <w:color w:val="000000"/>
          <w:sz w:val="28"/>
        </w:rPr>
        <w:t xml:space="preserve">
      Individual _______ _______________________________________________ </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Date of filling: “___” 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List of basic requirements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“Issuance of license for liquidation </w:t>
            </w:r>
            <w:r>
              <w:br/>
            </w:r>
            <w:r>
              <w:rPr>
                <w:rFonts w:ascii="Times New Roman"/>
                <w:b w:val="false"/>
                <w:i w:val="false"/>
                <w:color w:val="000000"/>
                <w:sz w:val="20"/>
              </w:rPr>
              <w:t xml:space="preserve">activities by means of destruction, </w:t>
            </w:r>
            <w:r>
              <w:br/>
            </w:r>
            <w:r>
              <w:rPr>
                <w:rFonts w:ascii="Times New Roman"/>
                <w:b w:val="false"/>
                <w:i w:val="false"/>
                <w:color w:val="000000"/>
                <w:sz w:val="20"/>
              </w:rPr>
              <w:t xml:space="preserve">disposal, dumping and processing </w:t>
            </w:r>
            <w:r>
              <w:br/>
            </w:r>
            <w:r>
              <w:rPr>
                <w:rFonts w:ascii="Times New Roman"/>
                <w:b w:val="false"/>
                <w:i w:val="false"/>
                <w:color w:val="000000"/>
                <w:sz w:val="20"/>
              </w:rPr>
              <w:t>of the released ammunition, weapons,</w:t>
            </w:r>
            <w:r>
              <w:br/>
            </w:r>
            <w:r>
              <w:rPr>
                <w:rFonts w:ascii="Times New Roman"/>
                <w:b w:val="false"/>
                <w:i w:val="false"/>
                <w:color w:val="000000"/>
                <w:sz w:val="20"/>
              </w:rPr>
              <w:t xml:space="preserve"> military equipment, and special </w:t>
            </w:r>
            <w:r>
              <w:br/>
            </w:r>
            <w:r>
              <w:rPr>
                <w:rFonts w:ascii="Times New Roman"/>
                <w:b w:val="false"/>
                <w:i w:val="false"/>
                <w:color w:val="000000"/>
                <w:sz w:val="20"/>
              </w:rPr>
              <w:t>equipment”</w:t>
            </w:r>
          </w:p>
        </w:tc>
      </w:tr>
    </w:tbl>
    <w:p>
      <w:pPr>
        <w:spacing w:after="0"/>
        <w:ind w:left="0"/>
        <w:jc w:val="both"/>
      </w:pPr>
      <w:r>
        <w:rPr>
          <w:rFonts w:ascii="Times New Roman"/>
          <w:b w:val="false"/>
          <w:i w:val="false"/>
          <w:color w:val="000000"/>
          <w:sz w:val="28"/>
        </w:rPr>
        <w:t>
      Form</w:t>
      </w:r>
    </w:p>
    <w:bookmarkStart w:name="z61" w:id="3"/>
    <w:p>
      <w:pPr>
        <w:spacing w:after="0"/>
        <w:ind w:left="0"/>
        <w:jc w:val="left"/>
      </w:pPr>
      <w:r>
        <w:rPr>
          <w:rFonts w:ascii="Times New Roman"/>
          <w:b/>
          <w:i w:val="false"/>
          <w:color w:val="000000"/>
        </w:rPr>
        <w:t xml:space="preserve"> Application of the legal entity for license acquisition and/or annex to the license</w:t>
      </w:r>
    </w:p>
    <w:bookmarkEnd w:id="3"/>
    <w:bookmarkStart w:name="z62" w:id="4"/>
    <w:p>
      <w:pPr>
        <w:spacing w:after="0"/>
        <w:ind w:left="0"/>
        <w:jc w:val="both"/>
      </w:pPr>
      <w:r>
        <w:rPr>
          <w:rFonts w:ascii="Times New Roman"/>
          <w:b w:val="false"/>
          <w:i w:val="false"/>
          <w:color w:val="000000"/>
          <w:sz w:val="28"/>
        </w:rPr>
        <w:t xml:space="preserve">
      To ___________________________________________________________________ </w:t>
      </w:r>
    </w:p>
    <w:bookmarkEnd w:id="4"/>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 __________________________________________________________________ </w:t>
      </w:r>
    </w:p>
    <w:p>
      <w:pPr>
        <w:spacing w:after="0"/>
        <w:ind w:left="0"/>
        <w:jc w:val="both"/>
      </w:pPr>
      <w:r>
        <w:rPr>
          <w:rFonts w:ascii="Times New Roman"/>
          <w:b w:val="false"/>
          <w:i w:val="false"/>
          <w:color w:val="000000"/>
          <w:sz w:val="28"/>
        </w:rPr>
        <w:t xml:space="preserve">
      (full name, location, business identification number of a legal entity (including a foreign </w:t>
      </w:r>
    </w:p>
    <w:p>
      <w:pPr>
        <w:spacing w:after="0"/>
        <w:ind w:left="0"/>
        <w:jc w:val="both"/>
      </w:pPr>
      <w:r>
        <w:rPr>
          <w:rFonts w:ascii="Times New Roman"/>
          <w:b w:val="false"/>
          <w:i w:val="false"/>
          <w:color w:val="000000"/>
          <w:sz w:val="28"/>
        </w:rPr>
        <w:t xml:space="preserve">
      legal entity), business identification number of a branch or representative office of a foreign </w:t>
      </w:r>
    </w:p>
    <w:p>
      <w:pPr>
        <w:spacing w:after="0"/>
        <w:ind w:left="0"/>
        <w:jc w:val="both"/>
      </w:pPr>
      <w:r>
        <w:rPr>
          <w:rFonts w:ascii="Times New Roman"/>
          <w:b w:val="false"/>
          <w:i w:val="false"/>
          <w:color w:val="000000"/>
          <w:sz w:val="28"/>
        </w:rPr>
        <w:t xml:space="preserve">
      legal entity - in the absence of a business identification number for a legal entity) </w:t>
      </w:r>
    </w:p>
    <w:p>
      <w:pPr>
        <w:spacing w:after="0"/>
        <w:ind w:left="0"/>
        <w:jc w:val="both"/>
      </w:pPr>
      <w:r>
        <w:rPr>
          <w:rFonts w:ascii="Times New Roman"/>
          <w:b w:val="false"/>
          <w:i w:val="false"/>
          <w:color w:val="000000"/>
          <w:sz w:val="28"/>
        </w:rPr>
        <w:t>
      I hereby request to issue a license and (or) annex to the license to carry out 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(indicate the full name of the type of activity and (or) subtype(s) of activity) </w:t>
      </w:r>
    </w:p>
    <w:p>
      <w:pPr>
        <w:spacing w:after="0"/>
        <w:ind w:left="0"/>
        <w:jc w:val="both"/>
      </w:pPr>
      <w:r>
        <w:rPr>
          <w:rFonts w:ascii="Times New Roman"/>
          <w:b w:val="false"/>
          <w:i w:val="false"/>
          <w:color w:val="000000"/>
          <w:sz w:val="28"/>
        </w:rPr>
        <w:t xml:space="preserve">
      Address of the legal entity ________________________________________________ </w:t>
      </w:r>
    </w:p>
    <w:p>
      <w:pPr>
        <w:spacing w:after="0"/>
        <w:ind w:left="0"/>
        <w:jc w:val="both"/>
      </w:pPr>
      <w:r>
        <w:rPr>
          <w:rFonts w:ascii="Times New Roman"/>
          <w:b w:val="false"/>
          <w:i w:val="false"/>
          <w:color w:val="000000"/>
          <w:sz w:val="28"/>
        </w:rPr>
        <w:t xml:space="preserve">
      (postal code, country (for a foreign legal entity), region, city, district, populated area point, </w:t>
      </w:r>
    </w:p>
    <w:p>
      <w:pPr>
        <w:spacing w:after="0"/>
        <w:ind w:left="0"/>
        <w:jc w:val="both"/>
      </w:pPr>
      <w:r>
        <w:rPr>
          <w:rFonts w:ascii="Times New Roman"/>
          <w:b w:val="false"/>
          <w:i w:val="false"/>
          <w:color w:val="000000"/>
          <w:sz w:val="28"/>
        </w:rPr>
        <w:t xml:space="preserve">
      street name, house/building number (stationary premises) </w:t>
      </w:r>
    </w:p>
    <w:p>
      <w:pPr>
        <w:spacing w:after="0"/>
        <w:ind w:left="0"/>
        <w:jc w:val="both"/>
      </w:pPr>
      <w:r>
        <w:rPr>
          <w:rFonts w:ascii="Times New Roman"/>
          <w:b w:val="false"/>
          <w:i w:val="false"/>
          <w:color w:val="000000"/>
          <w:sz w:val="28"/>
        </w:rPr>
        <w:t>
      Email _________________________________________________________________</w:t>
      </w:r>
    </w:p>
    <w:p>
      <w:pPr>
        <w:spacing w:after="0"/>
        <w:ind w:left="0"/>
        <w:jc w:val="both"/>
      </w:pPr>
      <w:r>
        <w:rPr>
          <w:rFonts w:ascii="Times New Roman"/>
          <w:b w:val="false"/>
          <w:i w:val="false"/>
          <w:color w:val="000000"/>
          <w:sz w:val="28"/>
        </w:rPr>
        <w:t xml:space="preserve">
      Telephone numbers ______________________________________________________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Address of the object of activity or actions (operations) 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populated area) point, street name, house/building number (stationary premises) ______ sheets are attached. It is hereby confirmed that: </w:t>
      </w:r>
    </w:p>
    <w:p>
      <w:pPr>
        <w:spacing w:after="0"/>
        <w:ind w:left="0"/>
        <w:jc w:val="both"/>
      </w:pPr>
      <w:r>
        <w:rPr>
          <w:rFonts w:ascii="Times New Roman"/>
          <w:b w:val="false"/>
          <w:i w:val="false"/>
          <w:color w:val="000000"/>
          <w:sz w:val="28"/>
        </w:rPr>
        <w:t xml:space="preserve">
      all specified data are official contacts and any information on issues of issuing or refusing to issue a license and (or) annex to the license can be sent to them; </w:t>
      </w:r>
    </w:p>
    <w:p>
      <w:pPr>
        <w:spacing w:after="0"/>
        <w:ind w:left="0"/>
        <w:jc w:val="both"/>
      </w:pPr>
      <w:r>
        <w:rPr>
          <w:rFonts w:ascii="Times New Roman"/>
          <w:b w:val="false"/>
          <w:i w:val="false"/>
          <w:color w:val="000000"/>
          <w:sz w:val="28"/>
        </w:rPr>
        <w:t xml:space="preserve">
      the applicant is not prohibited by the court from engaging in the licensed type and (or) subtype of activity; all attached documents are true and valid; </w:t>
      </w:r>
    </w:p>
    <w:p>
      <w:pPr>
        <w:spacing w:after="0"/>
        <w:ind w:left="0"/>
        <w:jc w:val="both"/>
      </w:pPr>
      <w:r>
        <w:rPr>
          <w:rFonts w:ascii="Times New Roman"/>
          <w:b w:val="false"/>
          <w:i w:val="false"/>
          <w:color w:val="000000"/>
          <w:sz w:val="28"/>
        </w:rPr>
        <w:t xml:space="preserve">
      the applicant agrees to the use of limited access personal data, constituting a secret protected by law, contained in information systems, when issuing a license and (or) annex to the license; </w:t>
      </w:r>
    </w:p>
    <w:p>
      <w:pPr>
        <w:spacing w:after="0"/>
        <w:ind w:left="0"/>
        <w:jc w:val="both"/>
      </w:pPr>
      <w:r>
        <w:rPr>
          <w:rFonts w:ascii="Times New Roman"/>
          <w:b w:val="false"/>
          <w:i w:val="false"/>
          <w:color w:val="000000"/>
          <w:sz w:val="28"/>
        </w:rPr>
        <w:t xml:space="preserve">
      the applicant agrees to certify the application with an electronic digital signature of an employee of the public service center (in case of application through the public service center). </w:t>
      </w:r>
    </w:p>
    <w:p>
      <w:pPr>
        <w:spacing w:after="0"/>
        <w:ind w:left="0"/>
        <w:jc w:val="both"/>
      </w:pPr>
      <w:r>
        <w:rPr>
          <w:rFonts w:ascii="Times New Roman"/>
          <w:b w:val="false"/>
          <w:i w:val="false"/>
          <w:color w:val="000000"/>
          <w:sz w:val="28"/>
        </w:rPr>
        <w:t xml:space="preserve">
      Head of ________ __________________________________________ </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Date of completion: “__”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List of basic requirements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“Issuance of license for liquidation </w:t>
            </w:r>
            <w:r>
              <w:br/>
            </w:r>
            <w:r>
              <w:rPr>
                <w:rFonts w:ascii="Times New Roman"/>
                <w:b w:val="false"/>
                <w:i w:val="false"/>
                <w:color w:val="000000"/>
                <w:sz w:val="20"/>
              </w:rPr>
              <w:t xml:space="preserve">activities by means of destruction, disposal, </w:t>
            </w:r>
            <w:r>
              <w:br/>
            </w:r>
            <w:r>
              <w:rPr>
                <w:rFonts w:ascii="Times New Roman"/>
                <w:b w:val="false"/>
                <w:i w:val="false"/>
                <w:color w:val="000000"/>
                <w:sz w:val="20"/>
              </w:rPr>
              <w:t xml:space="preserve">dumping and processing of the released </w:t>
            </w:r>
            <w:r>
              <w:br/>
            </w:r>
            <w:r>
              <w:rPr>
                <w:rFonts w:ascii="Times New Roman"/>
                <w:b w:val="false"/>
                <w:i w:val="false"/>
                <w:color w:val="000000"/>
                <w:sz w:val="20"/>
              </w:rPr>
              <w:t xml:space="preserve">ammunition, weapons, military equipment, </w:t>
            </w:r>
            <w:r>
              <w:br/>
            </w:r>
            <w:r>
              <w:rPr>
                <w:rFonts w:ascii="Times New Roman"/>
                <w:b w:val="false"/>
                <w:i w:val="false"/>
                <w:color w:val="000000"/>
                <w:sz w:val="20"/>
              </w:rPr>
              <w:t>and special equipment”</w:t>
            </w:r>
          </w:p>
        </w:tc>
      </w:tr>
    </w:tbl>
    <w:bookmarkStart w:name="z64" w:id="5"/>
    <w:p>
      <w:pPr>
        <w:spacing w:after="0"/>
        <w:ind w:left="0"/>
        <w:jc w:val="both"/>
      </w:pPr>
      <w:r>
        <w:rPr>
          <w:rFonts w:ascii="Times New Roman"/>
          <w:b w:val="false"/>
          <w:i w:val="false"/>
          <w:color w:val="000000"/>
          <w:sz w:val="28"/>
        </w:rPr>
        <w:t>
      Form</w:t>
      </w:r>
    </w:p>
    <w:bookmarkEnd w:id="5"/>
    <w:p>
      <w:pPr>
        <w:spacing w:after="0"/>
        <w:ind w:left="0"/>
        <w:jc w:val="left"/>
      </w:pPr>
      <w:r>
        <w:rPr>
          <w:rFonts w:ascii="Times New Roman"/>
          <w:b/>
          <w:i w:val="false"/>
          <w:color w:val="000000"/>
        </w:rPr>
        <w:t xml:space="preserve"> Application by an individual for re-issuance of a license and (or) annex to the license</w:t>
      </w:r>
    </w:p>
    <w:p>
      <w:pPr>
        <w:spacing w:after="0"/>
        <w:ind w:left="0"/>
        <w:jc w:val="both"/>
      </w:pPr>
      <w:r>
        <w:rPr>
          <w:rFonts w:ascii="Times New Roman"/>
          <w:b w:val="false"/>
          <w:i w:val="false"/>
          <w:color w:val="000000"/>
          <w:sz w:val="28"/>
        </w:rPr>
        <w:t xml:space="preserve">
      To ____________________________________________________________________ </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dated __________________________________________________________________ </w:t>
      </w:r>
    </w:p>
    <w:p>
      <w:pPr>
        <w:spacing w:after="0"/>
        <w:ind w:left="0"/>
        <w:jc w:val="both"/>
      </w:pPr>
      <w:r>
        <w:rPr>
          <w:rFonts w:ascii="Times New Roman"/>
          <w:b w:val="false"/>
          <w:i w:val="false"/>
          <w:color w:val="000000"/>
          <w:sz w:val="28"/>
        </w:rPr>
        <w:t xml:space="preserve">
      (last name, first name, patronymic (if any) of an individual, individual identification number) </w:t>
      </w:r>
    </w:p>
    <w:p>
      <w:pPr>
        <w:spacing w:after="0"/>
        <w:ind w:left="0"/>
        <w:jc w:val="both"/>
      </w:pPr>
      <w:r>
        <w:rPr>
          <w:rFonts w:ascii="Times New Roman"/>
          <w:b w:val="false"/>
          <w:i w:val="false"/>
          <w:color w:val="000000"/>
          <w:sz w:val="28"/>
        </w:rPr>
        <w:t xml:space="preserve">
      I hereby request to re-issue the license and (or) annex to the license </w:t>
      </w:r>
    </w:p>
    <w:p>
      <w:pPr>
        <w:spacing w:after="0"/>
        <w:ind w:left="0"/>
        <w:jc w:val="both"/>
      </w:pPr>
      <w:r>
        <w:rPr>
          <w:rFonts w:ascii="Times New Roman"/>
          <w:b w:val="false"/>
          <w:i w:val="false"/>
          <w:color w:val="000000"/>
          <w:sz w:val="28"/>
        </w:rPr>
        <w:t xml:space="preserve">
      (underline as appropriate) </w:t>
      </w:r>
    </w:p>
    <w:p>
      <w:pPr>
        <w:spacing w:after="0"/>
        <w:ind w:left="0"/>
        <w:jc w:val="both"/>
      </w:pPr>
      <w:r>
        <w:rPr>
          <w:rFonts w:ascii="Times New Roman"/>
          <w:b w:val="false"/>
          <w:i w:val="false"/>
          <w:color w:val="000000"/>
          <w:sz w:val="28"/>
        </w:rPr>
        <w:t>
      №________________ dated ____________ 20___, issued)</w:t>
      </w:r>
    </w:p>
    <w:p>
      <w:pPr>
        <w:spacing w:after="0"/>
        <w:ind w:left="0"/>
        <w:jc w:val="both"/>
      </w:pPr>
      <w:r>
        <w:rPr>
          <w:rFonts w:ascii="Times New Roman"/>
          <w:b w:val="false"/>
          <w:i w:val="false"/>
          <w:color w:val="000000"/>
          <w:sz w:val="28"/>
        </w:rPr>
        <w:t xml:space="preserve">
      _______________ (number(s) of the license and (or) annex(s) to the license, date of issue, </w:t>
      </w:r>
    </w:p>
    <w:p>
      <w:pPr>
        <w:spacing w:after="0"/>
        <w:ind w:left="0"/>
        <w:jc w:val="both"/>
      </w:pPr>
      <w:r>
        <w:rPr>
          <w:rFonts w:ascii="Times New Roman"/>
          <w:b w:val="false"/>
          <w:i w:val="false"/>
          <w:color w:val="000000"/>
          <w:sz w:val="28"/>
        </w:rPr>
        <w:t xml:space="preserve">
      name of the licensor who issued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the license and (or) annex(s) to the license) to carry out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(full name of the type of activity and (or) subtype(s) of activity) </w:t>
      </w:r>
    </w:p>
    <w:p>
      <w:pPr>
        <w:spacing w:after="0"/>
        <w:ind w:left="0"/>
        <w:jc w:val="both"/>
      </w:pPr>
      <w:r>
        <w:rPr>
          <w:rFonts w:ascii="Times New Roman"/>
          <w:b w:val="false"/>
          <w:i w:val="false"/>
          <w:color w:val="000000"/>
          <w:sz w:val="28"/>
        </w:rPr>
        <w:t xml:space="preserve">
      on the following basis(s) (specify in the appropriate cell X): </w:t>
      </w:r>
    </w:p>
    <w:p>
      <w:pPr>
        <w:spacing w:after="0"/>
        <w:ind w:left="0"/>
        <w:jc w:val="both"/>
      </w:pPr>
      <w:r>
        <w:rPr>
          <w:rFonts w:ascii="Times New Roman"/>
          <w:b w:val="false"/>
          <w:i w:val="false"/>
          <w:color w:val="000000"/>
          <w:sz w:val="28"/>
        </w:rPr>
        <w:t>
      1) change of surname, name, patronymic (if any) of an individual licensee 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re-registration of an individual entrepreneur- licensee, change of its name _______________</w:t>
      </w:r>
    </w:p>
    <w:p>
      <w:pPr>
        <w:spacing w:after="0"/>
        <w:ind w:left="0"/>
        <w:jc w:val="both"/>
      </w:pPr>
      <w:r>
        <w:rPr>
          <w:rFonts w:ascii="Times New Roman"/>
          <w:b w:val="false"/>
          <w:i w:val="false"/>
          <w:color w:val="000000"/>
          <w:sz w:val="28"/>
        </w:rPr>
        <w:t>
      3) re-registration of an individual entrepreneur-licensee, change of its legal address ________</w:t>
      </w:r>
    </w:p>
    <w:p>
      <w:pPr>
        <w:spacing w:after="0"/>
        <w:ind w:left="0"/>
        <w:jc w:val="both"/>
      </w:pPr>
      <w:r>
        <w:rPr>
          <w:rFonts w:ascii="Times New Roman"/>
          <w:b w:val="false"/>
          <w:i w:val="false"/>
          <w:color w:val="000000"/>
          <w:sz w:val="28"/>
        </w:rPr>
        <w:t xml:space="preserve">
      4) alienation by the licensee of a license issued under the class “permissions issued for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in Annex 1 to the Law of the Republic of Kazakhstan </w:t>
      </w:r>
    </w:p>
    <w:p>
      <w:pPr>
        <w:spacing w:after="0"/>
        <w:ind w:left="0"/>
        <w:jc w:val="both"/>
      </w:pPr>
      <w:r>
        <w:rPr>
          <w:rFonts w:ascii="Times New Roman"/>
          <w:b w:val="false"/>
          <w:i w:val="false"/>
          <w:color w:val="000000"/>
          <w:sz w:val="28"/>
        </w:rPr>
        <w:t>
      “On Permissions and Notifications” ________</w:t>
      </w:r>
    </w:p>
    <w:p>
      <w:pPr>
        <w:spacing w:after="0"/>
        <w:ind w:left="0"/>
        <w:jc w:val="both"/>
      </w:pPr>
      <w:r>
        <w:rPr>
          <w:rFonts w:ascii="Times New Roman"/>
          <w:b w:val="false"/>
          <w:i w:val="false"/>
          <w:color w:val="000000"/>
          <w:sz w:val="28"/>
        </w:rPr>
        <w:t xml:space="preserve">
      5) changing the address of the location of an object without physically moving it for a license </w:t>
      </w:r>
    </w:p>
    <w:p>
      <w:pPr>
        <w:spacing w:after="0"/>
        <w:ind w:left="0"/>
        <w:jc w:val="both"/>
      </w:pPr>
      <w:r>
        <w:rPr>
          <w:rFonts w:ascii="Times New Roman"/>
          <w:b w:val="false"/>
          <w:i w:val="false"/>
          <w:color w:val="000000"/>
          <w:sz w:val="28"/>
        </w:rPr>
        <w:t xml:space="preserve">
      issued under the class “permissions issued for objects” or applications to a license indicating </w:t>
      </w:r>
    </w:p>
    <w:p>
      <w:pPr>
        <w:spacing w:after="0"/>
        <w:ind w:left="0"/>
        <w:jc w:val="both"/>
      </w:pPr>
      <w:r>
        <w:rPr>
          <w:rFonts w:ascii="Times New Roman"/>
          <w:b w:val="false"/>
          <w:i w:val="false"/>
          <w:color w:val="000000"/>
          <w:sz w:val="28"/>
        </w:rPr>
        <w:t>
      objects _________________________________________________________________</w:t>
      </w:r>
    </w:p>
    <w:p>
      <w:pPr>
        <w:spacing w:after="0"/>
        <w:ind w:left="0"/>
        <w:jc w:val="both"/>
      </w:pPr>
      <w:r>
        <w:rPr>
          <w:rFonts w:ascii="Times New Roman"/>
          <w:b w:val="false"/>
          <w:i w:val="false"/>
          <w:color w:val="000000"/>
          <w:sz w:val="28"/>
        </w:rPr>
        <w:t xml:space="preserve">
      6) the presence of a requirement for re-registration in the laws of the Republic of Kazakhstan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change of name type of activity ___________________________________________</w:t>
      </w:r>
    </w:p>
    <w:p>
      <w:pPr>
        <w:spacing w:after="0"/>
        <w:ind w:left="0"/>
        <w:jc w:val="both"/>
      </w:pPr>
      <w:r>
        <w:rPr>
          <w:rFonts w:ascii="Times New Roman"/>
          <w:b w:val="false"/>
          <w:i w:val="false"/>
          <w:color w:val="000000"/>
          <w:sz w:val="28"/>
        </w:rPr>
        <w:t>
      8) change in the name of a subtype of activity __________________________________</w:t>
      </w:r>
    </w:p>
    <w:p>
      <w:pPr>
        <w:spacing w:after="0"/>
        <w:ind w:left="0"/>
        <w:jc w:val="both"/>
      </w:pPr>
      <w:r>
        <w:rPr>
          <w:rFonts w:ascii="Times New Roman"/>
          <w:b w:val="false"/>
          <w:i w:val="false"/>
          <w:color w:val="000000"/>
          <w:sz w:val="28"/>
        </w:rPr>
        <w:t>
      Residence address of an individual ___________________________________________</w:t>
      </w:r>
    </w:p>
    <w:p>
      <w:pPr>
        <w:spacing w:after="0"/>
        <w:ind w:left="0"/>
        <w:jc w:val="both"/>
      </w:pPr>
      <w:r>
        <w:rPr>
          <w:rFonts w:ascii="Times New Roman"/>
          <w:b w:val="false"/>
          <w:i w:val="false"/>
          <w:color w:val="000000"/>
          <w:sz w:val="28"/>
        </w:rPr>
        <w:t xml:space="preserve">
      (postal code, region, city, district, settlement, street name, house/building number) </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xml:space="preserve">
      Telephone numbers ____________________________________________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_________________________________________________ </w:t>
      </w:r>
    </w:p>
    <w:p>
      <w:pPr>
        <w:spacing w:after="0"/>
        <w:ind w:left="0"/>
        <w:jc w:val="both"/>
      </w:pPr>
      <w:r>
        <w:rPr>
          <w:rFonts w:ascii="Times New Roman"/>
          <w:b w:val="false"/>
          <w:i w:val="false"/>
          <w:color w:val="000000"/>
          <w:sz w:val="28"/>
        </w:rPr>
        <w:t xml:space="preserve">
      (account number, name and location of the bank) Address of the object of activity or actions (operations)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(stationary premises) _____ sheets are attached. </w:t>
      </w:r>
    </w:p>
    <w:p>
      <w:pPr>
        <w:spacing w:after="0"/>
        <w:ind w:left="0"/>
        <w:jc w:val="both"/>
      </w:pPr>
      <w:r>
        <w:rPr>
          <w:rFonts w:ascii="Times New Roman"/>
          <w:b w:val="false"/>
          <w:i w:val="false"/>
          <w:color w:val="000000"/>
          <w:sz w:val="28"/>
        </w:rPr>
        <w:t xml:space="preserve">
      It is hereby confirmed that: </w:t>
      </w:r>
    </w:p>
    <w:p>
      <w:pPr>
        <w:spacing w:after="0"/>
        <w:ind w:left="0"/>
        <w:jc w:val="both"/>
      </w:pPr>
      <w:r>
        <w:rPr>
          <w:rFonts w:ascii="Times New Roman"/>
          <w:b w:val="false"/>
          <w:i w:val="false"/>
          <w:color w:val="000000"/>
          <w:sz w:val="28"/>
        </w:rPr>
        <w:t xml:space="preserve">
      all specified data are official contacts and they can be sent any information on the issues of issuing or refusing to issue a license and (or) annex to the license; </w:t>
      </w:r>
    </w:p>
    <w:p>
      <w:pPr>
        <w:spacing w:after="0"/>
        <w:ind w:left="0"/>
        <w:jc w:val="both"/>
      </w:pPr>
      <w:r>
        <w:rPr>
          <w:rFonts w:ascii="Times New Roman"/>
          <w:b w:val="false"/>
          <w:i w:val="false"/>
          <w:color w:val="000000"/>
          <w:sz w:val="28"/>
        </w:rPr>
        <w:t xml:space="preserve">
      the applicant is not prohibited by the court from engaging in a licensed type and (or) subtype of activity; </w:t>
      </w:r>
    </w:p>
    <w:p>
      <w:pPr>
        <w:spacing w:after="0"/>
        <w:ind w:left="0"/>
        <w:jc w:val="both"/>
      </w:pPr>
      <w:r>
        <w:rPr>
          <w:rFonts w:ascii="Times New Roman"/>
          <w:b w:val="false"/>
          <w:i w:val="false"/>
          <w:color w:val="000000"/>
          <w:sz w:val="28"/>
        </w:rPr>
        <w:t xml:space="preserve">
      all attached documents are valid; the applicant agrees to the use of personal data of limited access, constituting a secret protected by law, contained in information systems, when issuing a license and (or) annex to the license; </w:t>
      </w:r>
    </w:p>
    <w:p>
      <w:pPr>
        <w:spacing w:after="0"/>
        <w:ind w:left="0"/>
        <w:jc w:val="both"/>
      </w:pPr>
      <w:r>
        <w:rPr>
          <w:rFonts w:ascii="Times New Roman"/>
          <w:b w:val="false"/>
          <w:i w:val="false"/>
          <w:color w:val="000000"/>
          <w:sz w:val="28"/>
        </w:rPr>
        <w:t xml:space="preserve">
      the applicant agrees to have the application certified by an electronic digital signature of an employee of the public service center (in case of application through the public service center). </w:t>
      </w:r>
    </w:p>
    <w:p>
      <w:pPr>
        <w:spacing w:after="0"/>
        <w:ind w:left="0"/>
        <w:jc w:val="both"/>
      </w:pPr>
      <w:r>
        <w:rPr>
          <w:rFonts w:ascii="Times New Roman"/>
          <w:b w:val="false"/>
          <w:i w:val="false"/>
          <w:color w:val="000000"/>
          <w:sz w:val="28"/>
        </w:rPr>
        <w:t xml:space="preserve">
      Individual ________ _______________________________________ </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Date of completion: “__” 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List of basic requirements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“Issuance of license for liquidation </w:t>
            </w:r>
            <w:r>
              <w:br/>
            </w:r>
            <w:r>
              <w:rPr>
                <w:rFonts w:ascii="Times New Roman"/>
                <w:b w:val="false"/>
                <w:i w:val="false"/>
                <w:color w:val="000000"/>
                <w:sz w:val="20"/>
              </w:rPr>
              <w:t xml:space="preserve">activities by means of destruction, </w:t>
            </w:r>
            <w:r>
              <w:br/>
            </w:r>
            <w:r>
              <w:rPr>
                <w:rFonts w:ascii="Times New Roman"/>
                <w:b w:val="false"/>
                <w:i w:val="false"/>
                <w:color w:val="000000"/>
                <w:sz w:val="20"/>
              </w:rPr>
              <w:t xml:space="preserve">disposal, dumping and processing </w:t>
            </w:r>
            <w:r>
              <w:br/>
            </w:r>
            <w:r>
              <w:rPr>
                <w:rFonts w:ascii="Times New Roman"/>
                <w:b w:val="false"/>
                <w:i w:val="false"/>
                <w:color w:val="000000"/>
                <w:sz w:val="20"/>
              </w:rPr>
              <w:t xml:space="preserve">of the released ammunition, weapons, </w:t>
            </w:r>
            <w:r>
              <w:br/>
            </w:r>
            <w:r>
              <w:rPr>
                <w:rFonts w:ascii="Times New Roman"/>
                <w:b w:val="false"/>
                <w:i w:val="false"/>
                <w:color w:val="000000"/>
                <w:sz w:val="20"/>
              </w:rPr>
              <w:t xml:space="preserve">military equipment, and special </w:t>
            </w:r>
            <w:r>
              <w:br/>
            </w:r>
            <w:r>
              <w:rPr>
                <w:rFonts w:ascii="Times New Roman"/>
                <w:b w:val="false"/>
                <w:i w:val="false"/>
                <w:color w:val="000000"/>
                <w:sz w:val="20"/>
              </w:rPr>
              <w:t>equipment”</w:t>
            </w:r>
          </w:p>
        </w:tc>
      </w:tr>
    </w:tbl>
    <w:bookmarkStart w:name="z68" w:id="6"/>
    <w:p>
      <w:pPr>
        <w:spacing w:after="0"/>
        <w:ind w:left="0"/>
        <w:jc w:val="both"/>
      </w:pPr>
      <w:r>
        <w:rPr>
          <w:rFonts w:ascii="Times New Roman"/>
          <w:b w:val="false"/>
          <w:i w:val="false"/>
          <w:color w:val="000000"/>
          <w:sz w:val="28"/>
        </w:rPr>
        <w:t>
      Form</w:t>
      </w:r>
    </w:p>
    <w:bookmarkEnd w:id="6"/>
    <w:bookmarkStart w:name="z69" w:id="7"/>
    <w:p>
      <w:pPr>
        <w:spacing w:after="0"/>
        <w:ind w:left="0"/>
        <w:jc w:val="left"/>
      </w:pPr>
      <w:r>
        <w:rPr>
          <w:rFonts w:ascii="Times New Roman"/>
          <w:b/>
          <w:i w:val="false"/>
          <w:color w:val="000000"/>
        </w:rPr>
        <w:t xml:space="preserve"> Application by a legal entity for re-issuance of a license and (or) annex to the license</w:t>
      </w:r>
    </w:p>
    <w:bookmarkEnd w:id="7"/>
    <w:bookmarkStart w:name="z70" w:id="8"/>
    <w:p>
      <w:pPr>
        <w:spacing w:after="0"/>
        <w:ind w:left="0"/>
        <w:jc w:val="both"/>
      </w:pPr>
      <w:r>
        <w:rPr>
          <w:rFonts w:ascii="Times New Roman"/>
          <w:b w:val="false"/>
          <w:i w:val="false"/>
          <w:color w:val="000000"/>
          <w:sz w:val="28"/>
        </w:rPr>
        <w:t xml:space="preserve">
      To ______________________________________________________________________ </w:t>
      </w:r>
    </w:p>
    <w:bookmarkEnd w:id="8"/>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 ____________________________________________________________________ </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entity - in </w:t>
      </w:r>
    </w:p>
    <w:p>
      <w:pPr>
        <w:spacing w:after="0"/>
        <w:ind w:left="0"/>
        <w:jc w:val="both"/>
      </w:pPr>
      <w:r>
        <w:rPr>
          <w:rFonts w:ascii="Times New Roman"/>
          <w:b w:val="false"/>
          <w:i w:val="false"/>
          <w:color w:val="000000"/>
          <w:sz w:val="28"/>
        </w:rPr>
        <w:t xml:space="preserve">
      the absence of a business identification number for a legal entity) </w:t>
      </w:r>
    </w:p>
    <w:p>
      <w:pPr>
        <w:spacing w:after="0"/>
        <w:ind w:left="0"/>
        <w:jc w:val="both"/>
      </w:pPr>
      <w:r>
        <w:rPr>
          <w:rFonts w:ascii="Times New Roman"/>
          <w:b w:val="false"/>
          <w:i w:val="false"/>
          <w:color w:val="000000"/>
          <w:sz w:val="28"/>
        </w:rPr>
        <w:t xml:space="preserve">
      Please re-issue the license and (or) annex(s) to the license (underline as appropriate) </w:t>
      </w:r>
    </w:p>
    <w:p>
      <w:pPr>
        <w:spacing w:after="0"/>
        <w:ind w:left="0"/>
        <w:jc w:val="both"/>
      </w:pPr>
      <w:r>
        <w:rPr>
          <w:rFonts w:ascii="Times New Roman"/>
          <w:b w:val="false"/>
          <w:i w:val="false"/>
          <w:color w:val="000000"/>
          <w:sz w:val="28"/>
        </w:rPr>
        <w:t>
      №__________ dated "___" _________ 20___, issued by 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(number(s) </w:t>
      </w:r>
    </w:p>
    <w:p>
      <w:pPr>
        <w:spacing w:after="0"/>
        <w:ind w:left="0"/>
        <w:jc w:val="both"/>
      </w:pPr>
      <w:r>
        <w:rPr>
          <w:rFonts w:ascii="Times New Roman"/>
          <w:b w:val="false"/>
          <w:i w:val="false"/>
          <w:color w:val="000000"/>
          <w:sz w:val="28"/>
        </w:rPr>
        <w:t xml:space="preserve">
      of the license and (or) annex(s) to the license, date of issue, name of the licensor who issued </w:t>
      </w:r>
    </w:p>
    <w:p>
      <w:pPr>
        <w:spacing w:after="0"/>
        <w:ind w:left="0"/>
        <w:jc w:val="both"/>
      </w:pPr>
      <w:r>
        <w:rPr>
          <w:rFonts w:ascii="Times New Roman"/>
          <w:b w:val="false"/>
          <w:i w:val="false"/>
          <w:color w:val="000000"/>
          <w:sz w:val="28"/>
        </w:rPr>
        <w:t xml:space="preserve">
      the license and (or) annex(s) to the license) </w:t>
      </w:r>
    </w:p>
    <w:p>
      <w:pPr>
        <w:spacing w:after="0"/>
        <w:ind w:left="0"/>
        <w:jc w:val="both"/>
      </w:pPr>
      <w:r>
        <w:rPr>
          <w:rFonts w:ascii="Times New Roman"/>
          <w:b w:val="false"/>
          <w:i w:val="false"/>
          <w:color w:val="000000"/>
          <w:sz w:val="28"/>
        </w:rPr>
        <w:t xml:space="preserve">
      To carry out ______________________________________________________________ </w:t>
      </w:r>
    </w:p>
    <w:p>
      <w:pPr>
        <w:spacing w:after="0"/>
        <w:ind w:left="0"/>
        <w:jc w:val="both"/>
      </w:pPr>
      <w:r>
        <w:rPr>
          <w:rFonts w:ascii="Times New Roman"/>
          <w:b w:val="false"/>
          <w:i w:val="false"/>
          <w:color w:val="000000"/>
          <w:sz w:val="28"/>
        </w:rPr>
        <w:t xml:space="preserve">
      (full name of the type of activity and (or) subtype(s) of activity) </w:t>
      </w:r>
    </w:p>
    <w:p>
      <w:pPr>
        <w:spacing w:after="0"/>
        <w:ind w:left="0"/>
        <w:jc w:val="both"/>
      </w:pPr>
      <w:r>
        <w:rPr>
          <w:rFonts w:ascii="Times New Roman"/>
          <w:b w:val="false"/>
          <w:i w:val="false"/>
          <w:color w:val="000000"/>
          <w:sz w:val="28"/>
        </w:rPr>
        <w:t xml:space="preserve">
      on the following basis(s) (specify in the appropriate cell X): </w:t>
      </w:r>
    </w:p>
    <w:p>
      <w:pPr>
        <w:spacing w:after="0"/>
        <w:ind w:left="0"/>
        <w:jc w:val="both"/>
      </w:pPr>
      <w:r>
        <w:rPr>
          <w:rFonts w:ascii="Times New Roman"/>
          <w:b w:val="false"/>
          <w:i w:val="false"/>
          <w:color w:val="000000"/>
          <w:sz w:val="28"/>
        </w:rPr>
        <w:t xml:space="preserve">
      1) reorganization of the legal entity-licensee in accordance with the procedure determined </w:t>
      </w:r>
    </w:p>
    <w:p>
      <w:pPr>
        <w:spacing w:after="0"/>
        <w:ind w:left="0"/>
        <w:jc w:val="both"/>
      </w:pPr>
      <w:r>
        <w:rPr>
          <w:rFonts w:ascii="Times New Roman"/>
          <w:b w:val="false"/>
          <w:i w:val="false"/>
          <w:color w:val="000000"/>
          <w:sz w:val="28"/>
        </w:rPr>
        <w:t xml:space="preserve">
      by Article 34 of the Law of the Republic of Kazakhstan “On Permissions and Notifications” </w:t>
      </w:r>
    </w:p>
    <w:p>
      <w:pPr>
        <w:spacing w:after="0"/>
        <w:ind w:left="0"/>
        <w:jc w:val="both"/>
      </w:pPr>
      <w:r>
        <w:rPr>
          <w:rFonts w:ascii="Times New Roman"/>
          <w:b w:val="false"/>
          <w:i w:val="false"/>
          <w:color w:val="000000"/>
          <w:sz w:val="28"/>
        </w:rPr>
        <w:t xml:space="preserve">
      by (specify in the appropriate cell X): </w:t>
      </w:r>
    </w:p>
    <w:p>
      <w:pPr>
        <w:spacing w:after="0"/>
        <w:ind w:left="0"/>
        <w:jc w:val="both"/>
      </w:pPr>
      <w:r>
        <w:rPr>
          <w:rFonts w:ascii="Times New Roman"/>
          <w:b w:val="false"/>
          <w:i w:val="false"/>
          <w:color w:val="000000"/>
          <w:sz w:val="28"/>
        </w:rPr>
        <w:t>
      merger ____transformation ____accession ____separation ____division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location of the legal entity-licensee ____</w:t>
      </w:r>
    </w:p>
    <w:p>
      <w:pPr>
        <w:spacing w:after="0"/>
        <w:ind w:left="0"/>
        <w:jc w:val="both"/>
      </w:pPr>
      <w:r>
        <w:rPr>
          <w:rFonts w:ascii="Times New Roman"/>
          <w:b w:val="false"/>
          <w:i w:val="false"/>
          <w:color w:val="000000"/>
          <w:sz w:val="28"/>
        </w:rPr>
        <w:t xml:space="preserve">
      4) alienation by the licensee of a license issued under the class “permissions issued for objects”, </w:t>
      </w:r>
    </w:p>
    <w:p>
      <w:pPr>
        <w:spacing w:after="0"/>
        <w:ind w:left="0"/>
        <w:jc w:val="both"/>
      </w:pPr>
      <w:r>
        <w:rPr>
          <w:rFonts w:ascii="Times New Roman"/>
          <w:b w:val="false"/>
          <w:i w:val="false"/>
          <w:color w:val="000000"/>
          <w:sz w:val="28"/>
        </w:rPr>
        <w:t xml:space="preserve">
      together with the object, in favor of third parties in cases where alienation of the </w:t>
      </w:r>
    </w:p>
    <w:p>
      <w:pPr>
        <w:spacing w:after="0"/>
        <w:ind w:left="0"/>
        <w:jc w:val="both"/>
      </w:pPr>
      <w:r>
        <w:rPr>
          <w:rFonts w:ascii="Times New Roman"/>
          <w:b w:val="false"/>
          <w:i w:val="false"/>
          <w:color w:val="000000"/>
          <w:sz w:val="28"/>
        </w:rPr>
        <w:t xml:space="preserve">
      license is provided for in Annex 1 to the Law of the Republic of Kazakhstan </w:t>
      </w:r>
    </w:p>
    <w:p>
      <w:pPr>
        <w:spacing w:after="0"/>
        <w:ind w:left="0"/>
        <w:jc w:val="both"/>
      </w:pPr>
      <w:r>
        <w:rPr>
          <w:rFonts w:ascii="Times New Roman"/>
          <w:b w:val="false"/>
          <w:i w:val="false"/>
          <w:color w:val="000000"/>
          <w:sz w:val="28"/>
        </w:rPr>
        <w:t>
      “On Permissions and Notifications” ___________________</w:t>
      </w:r>
    </w:p>
    <w:p>
      <w:pPr>
        <w:spacing w:after="0"/>
        <w:ind w:left="0"/>
        <w:jc w:val="both"/>
      </w:pPr>
      <w:r>
        <w:rPr>
          <w:rFonts w:ascii="Times New Roman"/>
          <w:b w:val="false"/>
          <w:i w:val="false"/>
          <w:color w:val="000000"/>
          <w:sz w:val="28"/>
        </w:rPr>
        <w:t>
      5) change in the address of the location of the object without its physical movement for a license</w:t>
      </w:r>
    </w:p>
    <w:p>
      <w:pPr>
        <w:spacing w:after="0"/>
        <w:ind w:left="0"/>
        <w:jc w:val="both"/>
      </w:pPr>
      <w:r>
        <w:rPr>
          <w:rFonts w:ascii="Times New Roman"/>
          <w:b w:val="false"/>
          <w:i w:val="false"/>
          <w:color w:val="000000"/>
          <w:sz w:val="28"/>
        </w:rPr>
        <w:t xml:space="preserve">
      issued under the class “permissions issued for objects” or annexes to the license indicating </w:t>
      </w:r>
    </w:p>
    <w:p>
      <w:pPr>
        <w:spacing w:after="0"/>
        <w:ind w:left="0"/>
        <w:jc w:val="both"/>
      </w:pPr>
      <w:r>
        <w:rPr>
          <w:rFonts w:ascii="Times New Roman"/>
          <w:b w:val="false"/>
          <w:i w:val="false"/>
          <w:color w:val="000000"/>
          <w:sz w:val="28"/>
        </w:rPr>
        <w:t>
      objects __________________________________________________________________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7) change in the name of the type of activity ______________________</w:t>
      </w:r>
    </w:p>
    <w:p>
      <w:pPr>
        <w:spacing w:after="0"/>
        <w:ind w:left="0"/>
        <w:jc w:val="both"/>
      </w:pPr>
      <w:r>
        <w:rPr>
          <w:rFonts w:ascii="Times New Roman"/>
          <w:b w:val="false"/>
          <w:i w:val="false"/>
          <w:color w:val="000000"/>
          <w:sz w:val="28"/>
        </w:rPr>
        <w:t>
      8) change in the name of the subtype activities ____________________</w:t>
      </w:r>
    </w:p>
    <w:p>
      <w:pPr>
        <w:spacing w:after="0"/>
        <w:ind w:left="0"/>
        <w:jc w:val="both"/>
      </w:pPr>
      <w:r>
        <w:rPr>
          <w:rFonts w:ascii="Times New Roman"/>
          <w:b w:val="false"/>
          <w:i w:val="false"/>
          <w:color w:val="000000"/>
          <w:sz w:val="28"/>
        </w:rPr>
        <w:t xml:space="preserve">
      Address of the legal entity ____________________________________ </w:t>
      </w:r>
    </w:p>
    <w:p>
      <w:pPr>
        <w:spacing w:after="0"/>
        <w:ind w:left="0"/>
        <w:jc w:val="both"/>
      </w:pPr>
      <w:r>
        <w:rPr>
          <w:rFonts w:ascii="Times New Roman"/>
          <w:b w:val="false"/>
          <w:i w:val="false"/>
          <w:color w:val="000000"/>
          <w:sz w:val="28"/>
        </w:rPr>
        <w:t xml:space="preserve">
      (country - for a foreign legal entity, postal code, region, city, district, </w:t>
      </w:r>
    </w:p>
    <w:p>
      <w:pPr>
        <w:spacing w:after="0"/>
        <w:ind w:left="0"/>
        <w:jc w:val="both"/>
      </w:pPr>
      <w:r>
        <w:rPr>
          <w:rFonts w:ascii="Times New Roman"/>
          <w:b w:val="false"/>
          <w:i w:val="false"/>
          <w:color w:val="000000"/>
          <w:sz w:val="28"/>
        </w:rPr>
        <w:t xml:space="preserve">
      settlement, street name, house/building number (stationary premises) </w:t>
      </w:r>
    </w:p>
    <w:p>
      <w:pPr>
        <w:spacing w:after="0"/>
        <w:ind w:left="0"/>
        <w:jc w:val="both"/>
      </w:pPr>
      <w:r>
        <w:rPr>
          <w:rFonts w:ascii="Times New Roman"/>
          <w:b w:val="false"/>
          <w:i w:val="false"/>
          <w:color w:val="000000"/>
          <w:sz w:val="28"/>
        </w:rPr>
        <w:t xml:space="preserve">
      Email ____________________________________________________ </w:t>
      </w:r>
    </w:p>
    <w:p>
      <w:pPr>
        <w:spacing w:after="0"/>
        <w:ind w:left="0"/>
        <w:jc w:val="both"/>
      </w:pPr>
      <w:r>
        <w:rPr>
          <w:rFonts w:ascii="Times New Roman"/>
          <w:b w:val="false"/>
          <w:i w:val="false"/>
          <w:color w:val="000000"/>
          <w:sz w:val="28"/>
        </w:rPr>
        <w:t xml:space="preserve">
      Telephone numbers 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 </w:t>
      </w:r>
    </w:p>
    <w:p>
      <w:pPr>
        <w:spacing w:after="0"/>
        <w:ind w:left="0"/>
        <w:jc w:val="both"/>
      </w:pPr>
      <w:r>
        <w:rPr>
          <w:rFonts w:ascii="Times New Roman"/>
          <w:b w:val="false"/>
          <w:i w:val="false"/>
          <w:color w:val="000000"/>
          <w:sz w:val="28"/>
        </w:rPr>
        <w:t>
      Bank account ______________________________________________</w:t>
      </w:r>
    </w:p>
    <w:p>
      <w:pPr>
        <w:spacing w:after="0"/>
        <w:ind w:left="0"/>
        <w:jc w:val="both"/>
      </w:pPr>
      <w:r>
        <w:rPr>
          <w:rFonts w:ascii="Times New Roman"/>
          <w:b w:val="false"/>
          <w:i w:val="false"/>
          <w:color w:val="000000"/>
          <w:sz w:val="28"/>
        </w:rPr>
        <w:t xml:space="preserve">
      (account number, name and location bank) </w:t>
      </w:r>
    </w:p>
    <w:p>
      <w:pPr>
        <w:spacing w:after="0"/>
        <w:ind w:left="0"/>
        <w:jc w:val="both"/>
      </w:pPr>
      <w:r>
        <w:rPr>
          <w:rFonts w:ascii="Times New Roman"/>
          <w:b w:val="false"/>
          <w:i w:val="false"/>
          <w:color w:val="000000"/>
          <w:sz w:val="28"/>
        </w:rPr>
        <w:t xml:space="preserve">
      Address of the object of activity or actions (operations)_____________ </w:t>
      </w:r>
    </w:p>
    <w:p>
      <w:pPr>
        <w:spacing w:after="0"/>
        <w:ind w:left="0"/>
        <w:jc w:val="both"/>
      </w:pPr>
      <w:r>
        <w:rPr>
          <w:rFonts w:ascii="Times New Roman"/>
          <w:b w:val="false"/>
          <w:i w:val="false"/>
          <w:color w:val="000000"/>
          <w:sz w:val="28"/>
        </w:rPr>
        <w:t xml:space="preserve">
      (postal code, region, city, district, settlement, street name, house/building number (stationary premises) ______ sheets are attached. </w:t>
      </w:r>
    </w:p>
    <w:p>
      <w:pPr>
        <w:spacing w:after="0"/>
        <w:ind w:left="0"/>
        <w:jc w:val="both"/>
      </w:pPr>
      <w:r>
        <w:rPr>
          <w:rFonts w:ascii="Times New Roman"/>
          <w:b w:val="false"/>
          <w:i w:val="false"/>
          <w:color w:val="000000"/>
          <w:sz w:val="28"/>
        </w:rPr>
        <w:t xml:space="preserve">
      It is hereby confirmed that: </w:t>
      </w:r>
    </w:p>
    <w:p>
      <w:pPr>
        <w:spacing w:after="0"/>
        <w:ind w:left="0"/>
        <w:jc w:val="both"/>
      </w:pPr>
      <w:r>
        <w:rPr>
          <w:rFonts w:ascii="Times New Roman"/>
          <w:b w:val="false"/>
          <w:i w:val="false"/>
          <w:color w:val="000000"/>
          <w:sz w:val="28"/>
        </w:rPr>
        <w:t xml:space="preserve">
      all specified data are official contacts and any information on issues of issuing or refusing to issue a license and (or) annex to the license can be sent to them; </w:t>
      </w:r>
    </w:p>
    <w:p>
      <w:pPr>
        <w:spacing w:after="0"/>
        <w:ind w:left="0"/>
        <w:jc w:val="both"/>
      </w:pPr>
      <w:r>
        <w:rPr>
          <w:rFonts w:ascii="Times New Roman"/>
          <w:b w:val="false"/>
          <w:i w:val="false"/>
          <w:color w:val="000000"/>
          <w:sz w:val="28"/>
        </w:rPr>
        <w:t xml:space="preserve">
      the applicant is not prohibited by the court from engaging in a licensed type and (or) subtype of activity; </w:t>
      </w:r>
    </w:p>
    <w:p>
      <w:pPr>
        <w:spacing w:after="0"/>
        <w:ind w:left="0"/>
        <w:jc w:val="both"/>
      </w:pPr>
      <w:r>
        <w:rPr>
          <w:rFonts w:ascii="Times New Roman"/>
          <w:b w:val="false"/>
          <w:i w:val="false"/>
          <w:color w:val="000000"/>
          <w:sz w:val="28"/>
        </w:rPr>
        <w:t xml:space="preserve">
      all attached documents are valid; </w:t>
      </w:r>
    </w:p>
    <w:p>
      <w:pPr>
        <w:spacing w:after="0"/>
        <w:ind w:left="0"/>
        <w:jc w:val="both"/>
      </w:pPr>
      <w:r>
        <w:rPr>
          <w:rFonts w:ascii="Times New Roman"/>
          <w:b w:val="false"/>
          <w:i w:val="false"/>
          <w:color w:val="000000"/>
          <w:sz w:val="28"/>
        </w:rPr>
        <w:t xml:space="preserve">
      the applicant agrees to the use of personal restricted access data constituting a legally protected secret contained in information systems when issuing a license and (or) annex to the license; </w:t>
      </w:r>
    </w:p>
    <w:p>
      <w:pPr>
        <w:spacing w:after="0"/>
        <w:ind w:left="0"/>
        <w:jc w:val="both"/>
      </w:pPr>
      <w:r>
        <w:rPr>
          <w:rFonts w:ascii="Times New Roman"/>
          <w:b w:val="false"/>
          <w:i w:val="false"/>
          <w:color w:val="000000"/>
          <w:sz w:val="28"/>
        </w:rPr>
        <w:t>
      the applicant agrees to have the application certified by an electronic digital signature of an employee of the public service center (in case of application through the public service center).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