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46550" w14:textId="e346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approval of the rules for the use of advanced therapy medicinal products as part of the exemption from the standard procedure for the market authorization of a medicinal product, as well as the list of medical facilities eligible to provide treatment under the Hospital exemption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KR DSM-240/2020 of the Minister of Healthcare of the Republic of Kazakhstan as of December 8, 2020. It is registered with the Ministry of Justice of the Republic of Kazakhstan on December 10, 2020 under № 21748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7 of Article 243 of the Code of the Republic of Kazakhstan “On Public Health and the Healthcare System” as of July 7, 2020, I hereby </w:t>
      </w:r>
      <w:r>
        <w:rPr>
          <w:rFonts w:ascii="Times New Roman"/>
          <w:b/>
          <w:i w:val="false"/>
          <w:color w:val="000000"/>
          <w:sz w:val="28"/>
        </w:rPr>
        <w:t>ORDER</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To approve the appended rules for the use of advanced therapy medicinal products as part of the exemption from the standard procedure for the market authorization of a medicinal product, as well as the list of medical facilities eligible to provide treatment under the Hospital exemption.</w:t>
      </w:r>
    </w:p>
    <w:bookmarkEnd w:id="0"/>
    <w:bookmarkStart w:name="z2" w:id="1"/>
    <w:p>
      <w:pPr>
        <w:spacing w:after="0"/>
        <w:ind w:left="0"/>
        <w:jc w:val="both"/>
      </w:pPr>
      <w:r>
        <w:rPr>
          <w:rFonts w:ascii="Times New Roman"/>
          <w:b w:val="false"/>
          <w:i w:val="false"/>
          <w:color w:val="000000"/>
          <w:sz w:val="28"/>
        </w:rPr>
        <w:t>
      2. In accordance with the procedure established by the legislation of the Republic of Kazakhstan, the Department of Science and Human Resources of the Ministry of Healthcare of the Republic of Kazakhstan shall ensure:</w:t>
      </w:r>
    </w:p>
    <w:bookmarkEnd w:id="1"/>
    <w:bookmarkStart w:name="z3" w:id="2"/>
    <w:p>
      <w:pPr>
        <w:spacing w:after="0"/>
        <w:ind w:left="0"/>
        <w:jc w:val="both"/>
      </w:pPr>
      <w:r>
        <w:rPr>
          <w:rFonts w:ascii="Times New Roman"/>
          <w:b w:val="false"/>
          <w:i w:val="false"/>
          <w:color w:val="000000"/>
          <w:sz w:val="28"/>
        </w:rPr>
        <w:t>
      1) the state registration of this order with the Ministry of Justice of the Republic of Kazakhstan;</w:t>
      </w:r>
    </w:p>
    <w:bookmarkEnd w:id="2"/>
    <w:bookmarkStart w:name="z4" w:id="3"/>
    <w:p>
      <w:pPr>
        <w:spacing w:after="0"/>
        <w:ind w:left="0"/>
        <w:jc w:val="both"/>
      </w:pPr>
      <w:r>
        <w:rPr>
          <w:rFonts w:ascii="Times New Roman"/>
          <w:b w:val="false"/>
          <w:i w:val="false"/>
          <w:color w:val="000000"/>
          <w:sz w:val="28"/>
        </w:rPr>
        <w:t>
      2) the posting of this order on the website of the Ministry of Healthcare of the Republic of Kazakhstan after its official publication;</w:t>
      </w:r>
    </w:p>
    <w:bookmarkEnd w:id="3"/>
    <w:bookmarkStart w:name="z5" w:id="4"/>
    <w:p>
      <w:pPr>
        <w:spacing w:after="0"/>
        <w:ind w:left="0"/>
        <w:jc w:val="both"/>
      </w:pPr>
      <w:r>
        <w:rPr>
          <w:rFonts w:ascii="Times New Roman"/>
          <w:b w:val="false"/>
          <w:i w:val="false"/>
          <w:color w:val="000000"/>
          <w:sz w:val="28"/>
        </w:rPr>
        <w:t>
      3) the submission of information on the implementation of the measures provided for in subparagraphs 1) and 2) of this paragraph to the Legal Department of the Ministry of Healthcare of the Republic of Kazakhstan within ten working days of the state registration of this order.</w:t>
      </w:r>
    </w:p>
    <w:bookmarkEnd w:id="4"/>
    <w:bookmarkStart w:name="z6" w:id="5"/>
    <w:p>
      <w:pPr>
        <w:spacing w:after="0"/>
        <w:ind w:left="0"/>
        <w:jc w:val="both"/>
      </w:pPr>
      <w:r>
        <w:rPr>
          <w:rFonts w:ascii="Times New Roman"/>
          <w:b w:val="false"/>
          <w:i w:val="false"/>
          <w:color w:val="000000"/>
          <w:sz w:val="28"/>
        </w:rPr>
        <w:t>
      3. Control over the execution of this order shall be entrusted to A.Giniyat, deputy minister of healthcare of the Republic of Kazakhstan.</w:t>
      </w:r>
    </w:p>
    <w:bookmarkEnd w:id="5"/>
    <w:bookmarkStart w:name="z7" w:id="6"/>
    <w:p>
      <w:pPr>
        <w:spacing w:after="0"/>
        <w:ind w:left="0"/>
        <w:jc w:val="both"/>
      </w:pPr>
      <w:r>
        <w:rPr>
          <w:rFonts w:ascii="Times New Roman"/>
          <w:b w:val="false"/>
          <w:i w:val="false"/>
          <w:color w:val="000000"/>
          <w:sz w:val="28"/>
        </w:rPr>
        <w:t>
      4. This order comes into effect ten calendar days of its first official publication.</w:t>
      </w:r>
    </w:p>
    <w:bookmarkEnd w:id="6"/>
    <w:tbl>
      <w:tblPr>
        <w:tblW w:w="0" w:type="auto"/>
        <w:tblCellSpacing w:w="0" w:type="auto"/>
        <w:tblBorders>
          <w:top w:val="none"/>
          <w:left w:val="none"/>
          <w:bottom w:val="none"/>
          <w:right w:val="none"/>
          <w:insideH w:val="none"/>
          <w:insideV w:val="none"/>
        </w:tblBorders>
      </w:tblPr>
      <w:tblGrid>
        <w:gridCol w:w="7792"/>
        <w:gridCol w:w="4208"/>
      </w:tblGrid>
      <w:tr>
        <w:trPr>
          <w:trHeight w:val="30" w:hRule="atLeast"/>
        </w:trPr>
        <w:tc>
          <w:tcPr>
            <w:tcW w:w="779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Healthcare of</w:t>
            </w:r>
            <w:r>
              <w:br/>
            </w:r>
            <w:r>
              <w:rPr>
                <w:rFonts w:ascii="Times New Roman"/>
                <w:b w:val="false"/>
                <w:i/>
                <w:color w:val="000000"/>
                <w:sz w:val="20"/>
              </w:rPr>
              <w:t xml:space="preserve">the Republic of Kazakhstan </w:t>
            </w:r>
            <w:r>
              <w:rPr>
                <w:rFonts w:ascii="Times New Roman"/>
                <w:b w:val="false"/>
                <w:i w:val="false"/>
                <w:color w:val="000000"/>
                <w:sz w:val="20"/>
              </w:rPr>
              <w:t>
</w:t>
            </w:r>
          </w:p>
        </w:tc>
        <w:tc>
          <w:tcPr>
            <w:tcW w:w="420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A.Tsoi</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w:t>
            </w:r>
            <w:r>
              <w:br/>
            </w:r>
            <w:r>
              <w:rPr>
                <w:rFonts w:ascii="Times New Roman"/>
                <w:b w:val="false"/>
                <w:i w:val="false"/>
                <w:color w:val="000000"/>
                <w:sz w:val="20"/>
              </w:rPr>
              <w:t xml:space="preserve">№ KR DSM-240/2020 </w:t>
            </w:r>
            <w:r>
              <w:br/>
            </w:r>
            <w:r>
              <w:rPr>
                <w:rFonts w:ascii="Times New Roman"/>
                <w:b w:val="false"/>
                <w:i w:val="false"/>
                <w:color w:val="000000"/>
                <w:sz w:val="20"/>
              </w:rPr>
              <w:t>of the Minister of Healthcare</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as of December 8, 2020 </w:t>
            </w:r>
          </w:p>
        </w:tc>
      </w:tr>
    </w:tbl>
    <w:bookmarkStart w:name="z9" w:id="7"/>
    <w:p>
      <w:pPr>
        <w:spacing w:after="0"/>
        <w:ind w:left="0"/>
        <w:jc w:val="left"/>
      </w:pPr>
      <w:r>
        <w:rPr>
          <w:rFonts w:ascii="Times New Roman"/>
          <w:b/>
          <w:i w:val="false"/>
          <w:color w:val="000000"/>
        </w:rPr>
        <w:t xml:space="preserve"> Rules </w:t>
      </w:r>
      <w:r>
        <w:br/>
      </w:r>
      <w:r>
        <w:rPr>
          <w:rFonts w:ascii="Times New Roman"/>
          <w:b/>
          <w:i w:val="false"/>
          <w:color w:val="000000"/>
        </w:rPr>
        <w:t xml:space="preserve">for the use of advanced therapy medicinal products as part of the exemption </w:t>
      </w:r>
      <w:r>
        <w:br/>
      </w:r>
      <w:r>
        <w:rPr>
          <w:rFonts w:ascii="Times New Roman"/>
          <w:b/>
          <w:i w:val="false"/>
          <w:color w:val="000000"/>
        </w:rPr>
        <w:t xml:space="preserve">from the standard procedure for the market  authorization of a medicinal product, as well </w:t>
      </w:r>
      <w:r>
        <w:br/>
      </w:r>
      <w:r>
        <w:rPr>
          <w:rFonts w:ascii="Times New Roman"/>
          <w:b/>
          <w:i w:val="false"/>
          <w:color w:val="000000"/>
        </w:rPr>
        <w:t>as the list of medical facilities eligible to provide treatment under the Hospital exemption</w:t>
      </w:r>
    </w:p>
    <w:bookmarkEnd w:id="7"/>
    <w:bookmarkStart w:name="z10" w:id="8"/>
    <w:p>
      <w:pPr>
        <w:spacing w:after="0"/>
        <w:ind w:left="0"/>
        <w:jc w:val="left"/>
      </w:pPr>
      <w:r>
        <w:rPr>
          <w:rFonts w:ascii="Times New Roman"/>
          <w:b/>
          <w:i w:val="false"/>
          <w:color w:val="000000"/>
        </w:rPr>
        <w:t xml:space="preserve"> Chapter 1. General provisions </w:t>
      </w:r>
    </w:p>
    <w:bookmarkEnd w:id="8"/>
    <w:bookmarkStart w:name="z11" w:id="9"/>
    <w:p>
      <w:pPr>
        <w:spacing w:after="0"/>
        <w:ind w:left="0"/>
        <w:jc w:val="both"/>
      </w:pPr>
      <w:r>
        <w:rPr>
          <w:rFonts w:ascii="Times New Roman"/>
          <w:b w:val="false"/>
          <w:i w:val="false"/>
          <w:color w:val="000000"/>
          <w:sz w:val="28"/>
        </w:rPr>
        <w:t>
      1. The rules for the use of advanced therapy medicinal products as part of the exemption from the standard procedure for the market authorization of a medicinal product, as well as the list of medical facilities eligible to provide treatment under the Hospital exemption (hereinafter referred to as the Rules) are developed in accordance with paragraph 7 of Article 243 of the Code of the Republic of Kazakhstan “On Public Health and the Healthcare System” as of July 7, 2020 (hereinafter - the Code) and establish the procedure for the use of advanced therapy medicinal products as part of the exemption from the standard procedure for the market authorization of a medicinal product, and also approve a list of medical facilities eligible to provide treatment under the Hospital exemption.</w:t>
      </w:r>
    </w:p>
    <w:bookmarkEnd w:id="9"/>
    <w:bookmarkStart w:name="z12" w:id="10"/>
    <w:p>
      <w:pPr>
        <w:spacing w:after="0"/>
        <w:ind w:left="0"/>
        <w:jc w:val="both"/>
      </w:pPr>
      <w:r>
        <w:rPr>
          <w:rFonts w:ascii="Times New Roman"/>
          <w:b w:val="false"/>
          <w:i w:val="false"/>
          <w:color w:val="000000"/>
          <w:sz w:val="28"/>
        </w:rPr>
        <w:t>
      2. The following terms and definitions are used in these Rules:</w:t>
      </w:r>
    </w:p>
    <w:bookmarkEnd w:id="10"/>
    <w:bookmarkStart w:name="z13" w:id="11"/>
    <w:p>
      <w:pPr>
        <w:spacing w:after="0"/>
        <w:ind w:left="0"/>
        <w:jc w:val="both"/>
      </w:pPr>
      <w:r>
        <w:rPr>
          <w:rFonts w:ascii="Times New Roman"/>
          <w:b w:val="false"/>
          <w:i w:val="false"/>
          <w:color w:val="000000"/>
          <w:sz w:val="28"/>
        </w:rPr>
        <w:t>
      1) informed consent - a procedure for a person to voluntarily confirm his/her consent to receive medical care and (or) participate in a specific study after receiving information on all aspects of medical care and (or) research that are important to know to make a decision;</w:t>
      </w:r>
    </w:p>
    <w:bookmarkEnd w:id="11"/>
    <w:bookmarkStart w:name="z14" w:id="12"/>
    <w:p>
      <w:pPr>
        <w:spacing w:after="0"/>
        <w:ind w:left="0"/>
        <w:jc w:val="both"/>
      </w:pPr>
      <w:r>
        <w:rPr>
          <w:rFonts w:ascii="Times New Roman"/>
          <w:b w:val="false"/>
          <w:i w:val="false"/>
          <w:color w:val="000000"/>
          <w:sz w:val="28"/>
        </w:rPr>
        <w:t>
      2) bioethical examination - consideration of a biomedical research and issuance of a substantiated opinion of the Commission on Bioethics from the standpoint of ethical acceptability, safety for participants and the feasibility of this research;</w:t>
      </w:r>
    </w:p>
    <w:bookmarkEnd w:id="12"/>
    <w:bookmarkStart w:name="z15" w:id="13"/>
    <w:p>
      <w:pPr>
        <w:spacing w:after="0"/>
        <w:ind w:left="0"/>
        <w:jc w:val="both"/>
      </w:pPr>
      <w:r>
        <w:rPr>
          <w:rFonts w:ascii="Times New Roman"/>
          <w:b w:val="false"/>
          <w:i w:val="false"/>
          <w:color w:val="000000"/>
          <w:sz w:val="28"/>
        </w:rPr>
        <w:t>
      3) medicinal product - a product that is or contains a substance or a combination of substances coming into contact with the human body, intended for the treatment, prevention of human diseases or the restoration, correction or change of his/her physiological functions through pharmacological, immunological or metabolic effects, or for diagnosing diseases and human conditions;</w:t>
      </w:r>
    </w:p>
    <w:bookmarkEnd w:id="13"/>
    <w:bookmarkStart w:name="z16" w:id="14"/>
    <w:p>
      <w:pPr>
        <w:spacing w:after="0"/>
        <w:ind w:left="0"/>
        <w:jc w:val="both"/>
      </w:pPr>
      <w:r>
        <w:rPr>
          <w:rFonts w:ascii="Times New Roman"/>
          <w:b w:val="false"/>
          <w:i w:val="false"/>
          <w:color w:val="000000"/>
          <w:sz w:val="28"/>
        </w:rPr>
        <w:t>
      4) hospital exemption - the procedure for admitting an unregistered medicinal product for clinical use on an exceptional basis in one medical facility for individual indications;</w:t>
      </w:r>
    </w:p>
    <w:bookmarkEnd w:id="14"/>
    <w:bookmarkStart w:name="z17" w:id="15"/>
    <w:p>
      <w:pPr>
        <w:spacing w:after="0"/>
        <w:ind w:left="0"/>
        <w:jc w:val="both"/>
      </w:pPr>
      <w:r>
        <w:rPr>
          <w:rFonts w:ascii="Times New Roman"/>
          <w:b w:val="false"/>
          <w:i w:val="false"/>
          <w:color w:val="000000"/>
          <w:sz w:val="28"/>
        </w:rPr>
        <w:t>
      5) sponsor – an individual or legal entity who initiates a clinical trial and is responsible for its organization and (or) financing;</w:t>
      </w:r>
    </w:p>
    <w:bookmarkEnd w:id="15"/>
    <w:bookmarkStart w:name="z18" w:id="16"/>
    <w:p>
      <w:pPr>
        <w:spacing w:after="0"/>
        <w:ind w:left="0"/>
        <w:jc w:val="both"/>
      </w:pPr>
      <w:r>
        <w:rPr>
          <w:rFonts w:ascii="Times New Roman"/>
          <w:b w:val="false"/>
          <w:i w:val="false"/>
          <w:color w:val="000000"/>
          <w:sz w:val="28"/>
        </w:rPr>
        <w:t>
      6) research director - a person responsible for the overall conduct of a clinical study of safety for human health and the environment;</w:t>
      </w:r>
    </w:p>
    <w:bookmarkEnd w:id="16"/>
    <w:bookmarkStart w:name="z19" w:id="17"/>
    <w:p>
      <w:pPr>
        <w:spacing w:after="0"/>
        <w:ind w:left="0"/>
        <w:jc w:val="both"/>
      </w:pPr>
      <w:r>
        <w:rPr>
          <w:rFonts w:ascii="Times New Roman"/>
          <w:b w:val="false"/>
          <w:i w:val="false"/>
          <w:color w:val="000000"/>
          <w:sz w:val="28"/>
        </w:rPr>
        <w:t>
      7) research center - an organization where preclinical (non-clinical) research, clinical research of drugs, medical devices, clinical and laboratory testing of medical devices for in vitro diagnostics are carried out;</w:t>
      </w:r>
    </w:p>
    <w:bookmarkEnd w:id="17"/>
    <w:bookmarkStart w:name="z20" w:id="18"/>
    <w:p>
      <w:pPr>
        <w:spacing w:after="0"/>
        <w:ind w:left="0"/>
        <w:jc w:val="both"/>
      </w:pPr>
      <w:r>
        <w:rPr>
          <w:rFonts w:ascii="Times New Roman"/>
          <w:b w:val="false"/>
          <w:i w:val="false"/>
          <w:color w:val="000000"/>
          <w:sz w:val="28"/>
        </w:rPr>
        <w:t>
      8) clinical trial - a study with human participation as a subject, which is conducted to identify or confirm the safety and effectiveness of products, methods and technologies for the prevention, diagnosis and treatment of diseases;</w:t>
      </w:r>
    </w:p>
    <w:bookmarkEnd w:id="18"/>
    <w:bookmarkStart w:name="z21" w:id="19"/>
    <w:p>
      <w:pPr>
        <w:spacing w:after="0"/>
        <w:ind w:left="0"/>
        <w:jc w:val="both"/>
      </w:pPr>
      <w:r>
        <w:rPr>
          <w:rFonts w:ascii="Times New Roman"/>
          <w:b w:val="false"/>
          <w:i w:val="false"/>
          <w:color w:val="000000"/>
          <w:sz w:val="28"/>
        </w:rPr>
        <w:t>
      9) clinical trial protocol (hereinafter referred to as the protocol) - a document describing the goals, design, methodology, statistical aspects and organization of the study;</w:t>
      </w:r>
    </w:p>
    <w:bookmarkEnd w:id="19"/>
    <w:bookmarkStart w:name="z22" w:id="20"/>
    <w:p>
      <w:pPr>
        <w:spacing w:after="0"/>
        <w:ind w:left="0"/>
        <w:jc w:val="both"/>
      </w:pPr>
      <w:r>
        <w:rPr>
          <w:rFonts w:ascii="Times New Roman"/>
          <w:b w:val="false"/>
          <w:i w:val="false"/>
          <w:color w:val="000000"/>
          <w:sz w:val="28"/>
        </w:rPr>
        <w:t>
      10) medical facility - a healthcare entity whose main activity is the provision of medical care;</w:t>
      </w:r>
    </w:p>
    <w:bookmarkEnd w:id="20"/>
    <w:bookmarkStart w:name="z23" w:id="21"/>
    <w:p>
      <w:pPr>
        <w:spacing w:after="0"/>
        <w:ind w:left="0"/>
        <w:jc w:val="both"/>
      </w:pPr>
      <w:r>
        <w:rPr>
          <w:rFonts w:ascii="Times New Roman"/>
          <w:b w:val="false"/>
          <w:i w:val="false"/>
          <w:color w:val="000000"/>
          <w:sz w:val="28"/>
        </w:rPr>
        <w:t>
      11) advanced therapy medicinal products (hereinafter referred to as ATMP) – medicinal products obtained by biotechnological or bioengineering ways, which offer new opportunities for the treatment of diseases and injuries, including agents for gene therapy, somatic cell therapy, tissue engineering;</w:t>
      </w:r>
    </w:p>
    <w:bookmarkEnd w:id="21"/>
    <w:bookmarkStart w:name="z24" w:id="22"/>
    <w:p>
      <w:pPr>
        <w:spacing w:after="0"/>
        <w:ind w:left="0"/>
        <w:jc w:val="both"/>
      </w:pPr>
      <w:r>
        <w:rPr>
          <w:rFonts w:ascii="Times New Roman"/>
          <w:b w:val="false"/>
          <w:i w:val="false"/>
          <w:color w:val="000000"/>
          <w:sz w:val="28"/>
        </w:rPr>
        <w:t>
      12) expert organization - a state expert organization in the field of turnover of medicinal products, medical devices;</w:t>
      </w:r>
    </w:p>
    <w:bookmarkEnd w:id="22"/>
    <w:bookmarkStart w:name="z25" w:id="23"/>
    <w:p>
      <w:pPr>
        <w:spacing w:after="0"/>
        <w:ind w:left="0"/>
        <w:jc w:val="both"/>
      </w:pPr>
      <w:r>
        <w:rPr>
          <w:rFonts w:ascii="Times New Roman"/>
          <w:b w:val="false"/>
          <w:i w:val="false"/>
          <w:color w:val="000000"/>
          <w:sz w:val="28"/>
        </w:rPr>
        <w:t>
      14) subject (research subject) - an individual participating in a clinical trial as part of a group receiving an investigational product, or as part of a control group.</w:t>
      </w:r>
    </w:p>
    <w:bookmarkEnd w:id="23"/>
    <w:bookmarkStart w:name="z26" w:id="24"/>
    <w:p>
      <w:pPr>
        <w:spacing w:after="0"/>
        <w:ind w:left="0"/>
        <w:jc w:val="left"/>
      </w:pPr>
      <w:r>
        <w:rPr>
          <w:rFonts w:ascii="Times New Roman"/>
          <w:b/>
          <w:i w:val="false"/>
          <w:color w:val="000000"/>
        </w:rPr>
        <w:t xml:space="preserve"> Chapter 2. </w:t>
      </w:r>
      <w:r>
        <w:br/>
      </w:r>
      <w:r>
        <w:rPr>
          <w:rFonts w:ascii="Times New Roman"/>
          <w:b/>
          <w:i w:val="false"/>
          <w:color w:val="000000"/>
        </w:rPr>
        <w:t xml:space="preserve">Procedure for the use of advanced therapy medicinal products </w:t>
      </w:r>
      <w:r>
        <w:br/>
      </w:r>
      <w:r>
        <w:rPr>
          <w:rFonts w:ascii="Times New Roman"/>
          <w:b/>
          <w:i w:val="false"/>
          <w:color w:val="000000"/>
        </w:rPr>
        <w:t xml:space="preserve">as part of the exemption from the standard procedure for the market authorization </w:t>
      </w:r>
      <w:r>
        <w:br/>
      </w:r>
      <w:r>
        <w:rPr>
          <w:rFonts w:ascii="Times New Roman"/>
          <w:b/>
          <w:i w:val="false"/>
          <w:color w:val="000000"/>
        </w:rPr>
        <w:t>of a medicinal product</w:t>
      </w:r>
    </w:p>
    <w:bookmarkEnd w:id="24"/>
    <w:bookmarkStart w:name="z27" w:id="25"/>
    <w:p>
      <w:pPr>
        <w:spacing w:after="0"/>
        <w:ind w:left="0"/>
        <w:jc w:val="both"/>
      </w:pPr>
      <w:r>
        <w:rPr>
          <w:rFonts w:ascii="Times New Roman"/>
          <w:b w:val="false"/>
          <w:i w:val="false"/>
          <w:color w:val="000000"/>
          <w:sz w:val="28"/>
        </w:rPr>
        <w:t>
      3. Advanced therapy medicinal products are used without conducting a clinical trial as part of the exemption from the standard procedure for the market authorization of a medicinal product, given:</w:t>
      </w:r>
    </w:p>
    <w:bookmarkEnd w:id="25"/>
    <w:bookmarkStart w:name="z28" w:id="26"/>
    <w:p>
      <w:pPr>
        <w:spacing w:after="0"/>
        <w:ind w:left="0"/>
        <w:jc w:val="both"/>
      </w:pPr>
      <w:r>
        <w:rPr>
          <w:rFonts w:ascii="Times New Roman"/>
          <w:b w:val="false"/>
          <w:i w:val="false"/>
          <w:color w:val="000000"/>
          <w:sz w:val="28"/>
        </w:rPr>
        <w:t>
      1) a positive opinion of a local bioethics commission;</w:t>
      </w:r>
    </w:p>
    <w:bookmarkEnd w:id="26"/>
    <w:bookmarkStart w:name="z29" w:id="27"/>
    <w:p>
      <w:pPr>
        <w:spacing w:after="0"/>
        <w:ind w:left="0"/>
        <w:jc w:val="both"/>
      </w:pPr>
      <w:r>
        <w:rPr>
          <w:rFonts w:ascii="Times New Roman"/>
          <w:b w:val="false"/>
          <w:i w:val="false"/>
          <w:color w:val="000000"/>
          <w:sz w:val="28"/>
        </w:rPr>
        <w:t>
      2) a scientific basis for the use of an advanced therapy medicinal product for the direct benefit of the patient;</w:t>
      </w:r>
    </w:p>
    <w:bookmarkEnd w:id="27"/>
    <w:bookmarkStart w:name="z30" w:id="28"/>
    <w:p>
      <w:pPr>
        <w:spacing w:after="0"/>
        <w:ind w:left="0"/>
        <w:jc w:val="both"/>
      </w:pPr>
      <w:r>
        <w:rPr>
          <w:rFonts w:ascii="Times New Roman"/>
          <w:b w:val="false"/>
          <w:i w:val="false"/>
          <w:color w:val="000000"/>
          <w:sz w:val="28"/>
        </w:rPr>
        <w:t>
      3) obtained informed consent of the patient or his/her legal representative for the use of the advanced therapy medicinal product.</w:t>
      </w:r>
    </w:p>
    <w:bookmarkEnd w:id="28"/>
    <w:bookmarkStart w:name="z31" w:id="29"/>
    <w:p>
      <w:pPr>
        <w:spacing w:after="0"/>
        <w:ind w:left="0"/>
        <w:jc w:val="both"/>
      </w:pPr>
      <w:r>
        <w:rPr>
          <w:rFonts w:ascii="Times New Roman"/>
          <w:b w:val="false"/>
          <w:i w:val="false"/>
          <w:color w:val="000000"/>
          <w:sz w:val="28"/>
        </w:rPr>
        <w:t>
      The doctor who prescribes the advanced therapy medicinal product shall see to that the specified conditions are met and, based on the results of the use of the advanced therapy medicinal product as part of the exemption from the standard procedure for the market authorization of the medicinal product, submits a report to the state expert organization in the field of turnover of medicinal products and medical devices and the Bioethics Commission in within fifteen working days of the end of the patient’s treatment with ATMP.</w:t>
      </w:r>
    </w:p>
    <w:bookmarkEnd w:id="29"/>
    <w:bookmarkStart w:name="z32" w:id="30"/>
    <w:p>
      <w:pPr>
        <w:spacing w:after="0"/>
        <w:ind w:left="0"/>
        <w:jc w:val="both"/>
      </w:pPr>
      <w:r>
        <w:rPr>
          <w:rFonts w:ascii="Times New Roman"/>
          <w:b w:val="false"/>
          <w:i w:val="false"/>
          <w:color w:val="000000"/>
          <w:sz w:val="28"/>
        </w:rPr>
        <w:t>
      4. To obtain an opinion on the use of ATMP as part of the exemption from the standard procedure for the market authorization of a medicinal product, an applicant from among the medical facilities specified in paragraph 19 of these Rules shall submit to the local bioethics commission:</w:t>
      </w:r>
    </w:p>
    <w:bookmarkEnd w:id="30"/>
    <w:bookmarkStart w:name="z33" w:id="31"/>
    <w:p>
      <w:pPr>
        <w:spacing w:after="0"/>
        <w:ind w:left="0"/>
        <w:jc w:val="both"/>
      </w:pPr>
      <w:r>
        <w:rPr>
          <w:rFonts w:ascii="Times New Roman"/>
          <w:b w:val="false"/>
          <w:i w:val="false"/>
          <w:color w:val="000000"/>
          <w:sz w:val="28"/>
        </w:rPr>
        <w:t>
      1) an application for the use of ATMP as part of the exemption from the standard procedure for the market authorization of the medicinal product;</w:t>
      </w:r>
    </w:p>
    <w:bookmarkEnd w:id="31"/>
    <w:bookmarkStart w:name="z34" w:id="32"/>
    <w:p>
      <w:pPr>
        <w:spacing w:after="0"/>
        <w:ind w:left="0"/>
        <w:jc w:val="both"/>
      </w:pPr>
      <w:r>
        <w:rPr>
          <w:rFonts w:ascii="Times New Roman"/>
          <w:b w:val="false"/>
          <w:i w:val="false"/>
          <w:color w:val="000000"/>
          <w:sz w:val="28"/>
        </w:rPr>
        <w:t>
      2) data of scientific and clinical trials on the proposed ATMP and the nosologies for the treatment of which it is used, and (or) systematic reviews summarizing the results of clinical trials at the republican and (or) international levels;</w:t>
      </w:r>
    </w:p>
    <w:bookmarkEnd w:id="32"/>
    <w:bookmarkStart w:name="z35" w:id="33"/>
    <w:p>
      <w:pPr>
        <w:spacing w:after="0"/>
        <w:ind w:left="0"/>
        <w:jc w:val="both"/>
      </w:pPr>
      <w:r>
        <w:rPr>
          <w:rFonts w:ascii="Times New Roman"/>
          <w:b w:val="false"/>
          <w:i w:val="false"/>
          <w:color w:val="000000"/>
          <w:sz w:val="28"/>
        </w:rPr>
        <w:t>
      3) information on the qualifications of specialists involved in the production and treatment processes;</w:t>
      </w:r>
    </w:p>
    <w:bookmarkEnd w:id="33"/>
    <w:bookmarkStart w:name="z36" w:id="34"/>
    <w:p>
      <w:pPr>
        <w:spacing w:after="0"/>
        <w:ind w:left="0"/>
        <w:jc w:val="both"/>
      </w:pPr>
      <w:r>
        <w:rPr>
          <w:rFonts w:ascii="Times New Roman"/>
          <w:b w:val="false"/>
          <w:i w:val="false"/>
          <w:color w:val="000000"/>
          <w:sz w:val="28"/>
        </w:rPr>
        <w:t>
      4) the informed consent form of patients for whom ATMP is used as part of the exemption from the standard procedure for the market authorization of a medicinal product or their legal representatives.</w:t>
      </w:r>
    </w:p>
    <w:bookmarkEnd w:id="34"/>
    <w:bookmarkStart w:name="z37" w:id="35"/>
    <w:p>
      <w:pPr>
        <w:spacing w:after="0"/>
        <w:ind w:left="0"/>
        <w:jc w:val="both"/>
      </w:pPr>
      <w:r>
        <w:rPr>
          <w:rFonts w:ascii="Times New Roman"/>
          <w:b w:val="false"/>
          <w:i w:val="false"/>
          <w:color w:val="000000"/>
          <w:sz w:val="28"/>
        </w:rPr>
        <w:t xml:space="preserve">
      5. As part of the exemption from the standard procedure for the market authorization of a medicinal product, ATMPs are used, which are produced in healthcare entities having appropriate conditions in accordance with the requirements of the Standard of Good Manufacturing Practice (GMP) (hereinafter referred to as the GMP standard) of the standards of good pharmaceutical practices in accordance with subparagraph 9) of Article 10 of the Code. </w:t>
      </w:r>
    </w:p>
    <w:bookmarkEnd w:id="35"/>
    <w:bookmarkStart w:name="z38" w:id="36"/>
    <w:p>
      <w:pPr>
        <w:spacing w:after="0"/>
        <w:ind w:left="0"/>
        <w:jc w:val="both"/>
      </w:pPr>
      <w:r>
        <w:rPr>
          <w:rFonts w:ascii="Times New Roman"/>
          <w:b w:val="false"/>
          <w:i w:val="false"/>
          <w:color w:val="000000"/>
          <w:sz w:val="28"/>
        </w:rPr>
        <w:t xml:space="preserve">
      6. The local bioethics commission considers the application’s materials for the use of ATMP as part of the exemption from the standard procedure for the market authorization of a medicinal product in the manner prescribed by standardized operating procedures approved by the Central Commission on Bioethics. </w:t>
      </w:r>
    </w:p>
    <w:bookmarkEnd w:id="36"/>
    <w:bookmarkStart w:name="z39" w:id="37"/>
    <w:p>
      <w:pPr>
        <w:spacing w:after="0"/>
        <w:ind w:left="0"/>
        <w:jc w:val="both"/>
      </w:pPr>
      <w:r>
        <w:rPr>
          <w:rFonts w:ascii="Times New Roman"/>
          <w:b w:val="false"/>
          <w:i w:val="false"/>
          <w:color w:val="000000"/>
          <w:sz w:val="28"/>
        </w:rPr>
        <w:t>
      To issue an opinion on the use of ATMP as part of the exemption from the standard procedure for the market authorization of a medicinal product, the following requirements are met:</w:t>
      </w:r>
    </w:p>
    <w:bookmarkEnd w:id="37"/>
    <w:bookmarkStart w:name="z40" w:id="38"/>
    <w:p>
      <w:pPr>
        <w:spacing w:after="0"/>
        <w:ind w:left="0"/>
        <w:jc w:val="both"/>
      </w:pPr>
      <w:r>
        <w:rPr>
          <w:rFonts w:ascii="Times New Roman"/>
          <w:b w:val="false"/>
          <w:i w:val="false"/>
          <w:color w:val="000000"/>
          <w:sz w:val="28"/>
        </w:rPr>
        <w:t xml:space="preserve">
      1) ATMPs are made for a specific patient according to the individual prescription of the attending physician; </w:t>
      </w:r>
    </w:p>
    <w:bookmarkEnd w:id="38"/>
    <w:bookmarkStart w:name="z41" w:id="39"/>
    <w:p>
      <w:pPr>
        <w:spacing w:after="0"/>
        <w:ind w:left="0"/>
        <w:jc w:val="both"/>
      </w:pPr>
      <w:r>
        <w:rPr>
          <w:rFonts w:ascii="Times New Roman"/>
          <w:b w:val="false"/>
          <w:i w:val="false"/>
          <w:color w:val="000000"/>
          <w:sz w:val="28"/>
        </w:rPr>
        <w:t>
      2) ATMPs are not manufactured commercially and are made from cells, tissues, or other biological materials. By origin, ATMPs are classified as autologous, allogeneic, or xenogenic;</w:t>
      </w:r>
    </w:p>
    <w:bookmarkEnd w:id="39"/>
    <w:bookmarkStart w:name="z42" w:id="40"/>
    <w:p>
      <w:pPr>
        <w:spacing w:after="0"/>
        <w:ind w:left="0"/>
        <w:jc w:val="both"/>
      </w:pPr>
      <w:r>
        <w:rPr>
          <w:rFonts w:ascii="Times New Roman"/>
          <w:b w:val="false"/>
          <w:i w:val="false"/>
          <w:color w:val="000000"/>
          <w:sz w:val="28"/>
        </w:rPr>
        <w:t>
      3) ATMPs are used in the medical facility in which they were prescribed. The use of ATMP, monitoring of results is carried out personally by the doctor who prescribed the treatment;</w:t>
      </w:r>
    </w:p>
    <w:bookmarkEnd w:id="40"/>
    <w:bookmarkStart w:name="z43" w:id="41"/>
    <w:p>
      <w:pPr>
        <w:spacing w:after="0"/>
        <w:ind w:left="0"/>
        <w:jc w:val="both"/>
      </w:pPr>
      <w:r>
        <w:rPr>
          <w:rFonts w:ascii="Times New Roman"/>
          <w:b w:val="false"/>
          <w:i w:val="false"/>
          <w:color w:val="000000"/>
          <w:sz w:val="28"/>
        </w:rPr>
        <w:t>
      4) the medical facility has qualified specialists with the skills and abilities to apply ATMP;</w:t>
      </w:r>
    </w:p>
    <w:bookmarkEnd w:id="41"/>
    <w:bookmarkStart w:name="z44" w:id="42"/>
    <w:p>
      <w:pPr>
        <w:spacing w:after="0"/>
        <w:ind w:left="0"/>
        <w:jc w:val="both"/>
      </w:pPr>
      <w:r>
        <w:rPr>
          <w:rFonts w:ascii="Times New Roman"/>
          <w:b w:val="false"/>
          <w:i w:val="false"/>
          <w:color w:val="000000"/>
          <w:sz w:val="28"/>
        </w:rPr>
        <w:t>
      5) the medical facility has premises, equipment and necessary infrastructure for the application of ATMP;</w:t>
      </w:r>
    </w:p>
    <w:bookmarkEnd w:id="42"/>
    <w:bookmarkStart w:name="z45" w:id="43"/>
    <w:p>
      <w:pPr>
        <w:spacing w:after="0"/>
        <w:ind w:left="0"/>
        <w:jc w:val="both"/>
      </w:pPr>
      <w:r>
        <w:rPr>
          <w:rFonts w:ascii="Times New Roman"/>
          <w:b w:val="false"/>
          <w:i w:val="false"/>
          <w:color w:val="000000"/>
          <w:sz w:val="28"/>
        </w:rPr>
        <w:t>
      6) the medical facility has conditions to ensure proper compliance with bioethical principles when applying ATMP.</w:t>
      </w:r>
    </w:p>
    <w:bookmarkEnd w:id="43"/>
    <w:bookmarkStart w:name="z46" w:id="44"/>
    <w:p>
      <w:pPr>
        <w:spacing w:after="0"/>
        <w:ind w:left="0"/>
        <w:jc w:val="both"/>
      </w:pPr>
      <w:r>
        <w:rPr>
          <w:rFonts w:ascii="Times New Roman"/>
          <w:b w:val="false"/>
          <w:i w:val="false"/>
          <w:color w:val="000000"/>
          <w:sz w:val="28"/>
        </w:rPr>
        <w:t xml:space="preserve">
      When using ATMP in another medical facility related to the patient’s place of residence or other circumstances, the prescription of ATMP is officially confirmed by this facility’s attending physician, who directly administers the ATMP. In this case, the monitoring of effectiveness and registration of side effects is the responsibility of the attending physician. </w:t>
      </w:r>
    </w:p>
    <w:bookmarkEnd w:id="44"/>
    <w:bookmarkStart w:name="z47" w:id="45"/>
    <w:p>
      <w:pPr>
        <w:spacing w:after="0"/>
        <w:ind w:left="0"/>
        <w:jc w:val="both"/>
      </w:pPr>
      <w:r>
        <w:rPr>
          <w:rFonts w:ascii="Times New Roman"/>
          <w:b w:val="false"/>
          <w:i w:val="false"/>
          <w:color w:val="000000"/>
          <w:sz w:val="28"/>
        </w:rPr>
        <w:t>
      7. The term for the local bioethics commission’s consideration of the materials of the application for the issuance of an opinion on the use of ATMP as part of the exemption from the standard procedure for the market authorization of a medicinal product and making a decision to issue or refuse to issue an opinion does not exceed fourteen working days of payment for expert work and the submission of a full list of documents.</w:t>
      </w:r>
    </w:p>
    <w:bookmarkEnd w:id="45"/>
    <w:bookmarkStart w:name="z48" w:id="46"/>
    <w:p>
      <w:pPr>
        <w:spacing w:after="0"/>
        <w:ind w:left="0"/>
        <w:jc w:val="both"/>
      </w:pPr>
      <w:r>
        <w:rPr>
          <w:rFonts w:ascii="Times New Roman"/>
          <w:b w:val="false"/>
          <w:i w:val="false"/>
          <w:color w:val="000000"/>
          <w:sz w:val="28"/>
        </w:rPr>
        <w:t>
      8. The local bioethics commission asks the sponsor or applicant for oral or written explanations in case of incomplete disclosure of information on the planned use of ATMP in the submitted documents, and also involves national experts who are not part of the Commission. The applicant is given no more than thirty working days to provide explanations.</w:t>
      </w:r>
    </w:p>
    <w:bookmarkEnd w:id="46"/>
    <w:bookmarkStart w:name="z49" w:id="47"/>
    <w:p>
      <w:pPr>
        <w:spacing w:after="0"/>
        <w:ind w:left="0"/>
        <w:jc w:val="both"/>
      </w:pPr>
      <w:r>
        <w:rPr>
          <w:rFonts w:ascii="Times New Roman"/>
          <w:b w:val="false"/>
          <w:i w:val="false"/>
          <w:color w:val="000000"/>
          <w:sz w:val="28"/>
        </w:rPr>
        <w:t>
      9. The local bioethics commission communicates its decision to the sponsor or applicant of the clinical trial, who, in case of disagreement with the decision of the LBC, lodges an appeal. An appeal by an applicant who does not agree with the results of the bioethical examination is considered by the commission within a period not exceeding thirty calendar days, with the participation of the applicant himself/herself and the involvement of independent experts. Based on the results of the consideration of the appeal, the Commission makes a final opinion.</w:t>
      </w:r>
    </w:p>
    <w:bookmarkEnd w:id="47"/>
    <w:bookmarkStart w:name="z50" w:id="48"/>
    <w:p>
      <w:pPr>
        <w:spacing w:after="0"/>
        <w:ind w:left="0"/>
        <w:jc w:val="both"/>
      </w:pPr>
      <w:r>
        <w:rPr>
          <w:rFonts w:ascii="Times New Roman"/>
          <w:b w:val="false"/>
          <w:i w:val="false"/>
          <w:color w:val="000000"/>
          <w:sz w:val="28"/>
        </w:rPr>
        <w:t>
      10. Based on the results of the bioethics examination, the Local Bioethics Commission makes a decision and issues an opinion of the bioethics examination in the manner approved by the research center, on the basis of which the Local Bioethics Commission was set up.</w:t>
      </w:r>
    </w:p>
    <w:bookmarkEnd w:id="48"/>
    <w:bookmarkStart w:name="z51" w:id="49"/>
    <w:p>
      <w:pPr>
        <w:spacing w:after="0"/>
        <w:ind w:left="0"/>
        <w:jc w:val="both"/>
      </w:pPr>
      <w:r>
        <w:rPr>
          <w:rFonts w:ascii="Times New Roman"/>
          <w:b w:val="false"/>
          <w:i w:val="false"/>
          <w:color w:val="000000"/>
          <w:sz w:val="28"/>
        </w:rPr>
        <w:t xml:space="preserve">
      11. A medical facility applying ATMP as part of the exemption from the standard procedure for the market authorization of a medicinal product shall ensure that all steps in the application of ATMP are documented. </w:t>
      </w:r>
    </w:p>
    <w:bookmarkEnd w:id="49"/>
    <w:bookmarkStart w:name="z52" w:id="50"/>
    <w:p>
      <w:pPr>
        <w:spacing w:after="0"/>
        <w:ind w:left="0"/>
        <w:jc w:val="both"/>
      </w:pPr>
      <w:r>
        <w:rPr>
          <w:rFonts w:ascii="Times New Roman"/>
          <w:b w:val="false"/>
          <w:i w:val="false"/>
          <w:color w:val="000000"/>
          <w:sz w:val="28"/>
        </w:rPr>
        <w:t>
      12. Electronic systems are used for registration and processing of data, provided that the reliability, control and protection of these systems are guaranteed against loss of or damage to data, copying, transferring data to other storage systems, while ensuring the availability and legibility of data, the ability to print.</w:t>
      </w:r>
    </w:p>
    <w:bookmarkEnd w:id="50"/>
    <w:bookmarkStart w:name="z53" w:id="51"/>
    <w:p>
      <w:pPr>
        <w:spacing w:after="0"/>
        <w:ind w:left="0"/>
        <w:jc w:val="both"/>
      </w:pPr>
      <w:r>
        <w:rPr>
          <w:rFonts w:ascii="Times New Roman"/>
          <w:b w:val="false"/>
          <w:i w:val="false"/>
          <w:color w:val="000000"/>
          <w:sz w:val="28"/>
        </w:rPr>
        <w:t>
      13. The ATMP label (or attached ATMP Instructions for Use) includes the following information:</w:t>
      </w:r>
    </w:p>
    <w:bookmarkEnd w:id="51"/>
    <w:bookmarkStart w:name="z54" w:id="52"/>
    <w:p>
      <w:pPr>
        <w:spacing w:after="0"/>
        <w:ind w:left="0"/>
        <w:jc w:val="both"/>
      </w:pPr>
      <w:r>
        <w:rPr>
          <w:rFonts w:ascii="Times New Roman"/>
          <w:b w:val="false"/>
          <w:i w:val="false"/>
          <w:color w:val="000000"/>
          <w:sz w:val="28"/>
        </w:rPr>
        <w:t>
      1) the name of the medicinal product,</w:t>
      </w:r>
    </w:p>
    <w:bookmarkEnd w:id="52"/>
    <w:bookmarkStart w:name="z55" w:id="53"/>
    <w:p>
      <w:pPr>
        <w:spacing w:after="0"/>
        <w:ind w:left="0"/>
        <w:jc w:val="both"/>
      </w:pPr>
      <w:r>
        <w:rPr>
          <w:rFonts w:ascii="Times New Roman"/>
          <w:b w:val="false"/>
          <w:i w:val="false"/>
          <w:color w:val="000000"/>
          <w:sz w:val="28"/>
        </w:rPr>
        <w:t>
      2) the name of the medical facility where the medicinal product was prescribed,</w:t>
      </w:r>
    </w:p>
    <w:bookmarkEnd w:id="53"/>
    <w:bookmarkStart w:name="z56" w:id="54"/>
    <w:p>
      <w:pPr>
        <w:spacing w:after="0"/>
        <w:ind w:left="0"/>
        <w:jc w:val="both"/>
      </w:pPr>
      <w:r>
        <w:rPr>
          <w:rFonts w:ascii="Times New Roman"/>
          <w:b w:val="false"/>
          <w:i w:val="false"/>
          <w:color w:val="000000"/>
          <w:sz w:val="28"/>
        </w:rPr>
        <w:t>
      3) identification code of the medicinal product and (or) packaging,</w:t>
      </w:r>
    </w:p>
    <w:bookmarkEnd w:id="54"/>
    <w:bookmarkStart w:name="z57" w:id="55"/>
    <w:p>
      <w:pPr>
        <w:spacing w:after="0"/>
        <w:ind w:left="0"/>
        <w:jc w:val="both"/>
      </w:pPr>
      <w:r>
        <w:rPr>
          <w:rFonts w:ascii="Times New Roman"/>
          <w:b w:val="false"/>
          <w:i w:val="false"/>
          <w:color w:val="000000"/>
          <w:sz w:val="28"/>
        </w:rPr>
        <w:t>
      4) the name of the patient to whom the medicinal product was prescribed,</w:t>
      </w:r>
    </w:p>
    <w:bookmarkEnd w:id="55"/>
    <w:bookmarkStart w:name="z58" w:id="56"/>
    <w:p>
      <w:pPr>
        <w:spacing w:after="0"/>
        <w:ind w:left="0"/>
        <w:jc w:val="both"/>
      </w:pPr>
      <w:r>
        <w:rPr>
          <w:rFonts w:ascii="Times New Roman"/>
          <w:b w:val="false"/>
          <w:i w:val="false"/>
          <w:color w:val="000000"/>
          <w:sz w:val="28"/>
        </w:rPr>
        <w:t>
      5) doctor’s prescription and doctor’s registration number,</w:t>
      </w:r>
    </w:p>
    <w:bookmarkEnd w:id="56"/>
    <w:bookmarkStart w:name="z59" w:id="57"/>
    <w:p>
      <w:pPr>
        <w:spacing w:after="0"/>
        <w:ind w:left="0"/>
        <w:jc w:val="both"/>
      </w:pPr>
      <w:r>
        <w:rPr>
          <w:rFonts w:ascii="Times New Roman"/>
          <w:b w:val="false"/>
          <w:i w:val="false"/>
          <w:color w:val="000000"/>
          <w:sz w:val="28"/>
        </w:rPr>
        <w:t>
      6) the name and quantity of active substances,</w:t>
      </w:r>
    </w:p>
    <w:bookmarkEnd w:id="57"/>
    <w:bookmarkStart w:name="z60" w:id="58"/>
    <w:p>
      <w:pPr>
        <w:spacing w:after="0"/>
        <w:ind w:left="0"/>
        <w:jc w:val="both"/>
      </w:pPr>
      <w:r>
        <w:rPr>
          <w:rFonts w:ascii="Times New Roman"/>
          <w:b w:val="false"/>
          <w:i w:val="false"/>
          <w:color w:val="000000"/>
          <w:sz w:val="28"/>
        </w:rPr>
        <w:t>
      7) type of cells or tissues,</w:t>
      </w:r>
    </w:p>
    <w:bookmarkEnd w:id="58"/>
    <w:bookmarkStart w:name="z61" w:id="59"/>
    <w:p>
      <w:pPr>
        <w:spacing w:after="0"/>
        <w:ind w:left="0"/>
        <w:jc w:val="both"/>
      </w:pPr>
      <w:r>
        <w:rPr>
          <w:rFonts w:ascii="Times New Roman"/>
          <w:b w:val="false"/>
          <w:i w:val="false"/>
          <w:color w:val="000000"/>
          <w:sz w:val="28"/>
        </w:rPr>
        <w:t>
      8) dosage form,</w:t>
      </w:r>
    </w:p>
    <w:bookmarkEnd w:id="59"/>
    <w:bookmarkStart w:name="z62" w:id="60"/>
    <w:p>
      <w:pPr>
        <w:spacing w:after="0"/>
        <w:ind w:left="0"/>
        <w:jc w:val="both"/>
      </w:pPr>
      <w:r>
        <w:rPr>
          <w:rFonts w:ascii="Times New Roman"/>
          <w:b w:val="false"/>
          <w:i w:val="false"/>
          <w:color w:val="000000"/>
          <w:sz w:val="28"/>
        </w:rPr>
        <w:t>
      9) a list of excipients, including canning systems,</w:t>
      </w:r>
    </w:p>
    <w:bookmarkEnd w:id="60"/>
    <w:bookmarkStart w:name="z63" w:id="61"/>
    <w:p>
      <w:pPr>
        <w:spacing w:after="0"/>
        <w:ind w:left="0"/>
        <w:jc w:val="both"/>
      </w:pPr>
      <w:r>
        <w:rPr>
          <w:rFonts w:ascii="Times New Roman"/>
          <w:b w:val="false"/>
          <w:i w:val="false"/>
          <w:color w:val="000000"/>
          <w:sz w:val="28"/>
        </w:rPr>
        <w:t>
      10) the shelf life of the medicinal product,</w:t>
      </w:r>
    </w:p>
    <w:bookmarkEnd w:id="61"/>
    <w:bookmarkStart w:name="z64" w:id="62"/>
    <w:p>
      <w:pPr>
        <w:spacing w:after="0"/>
        <w:ind w:left="0"/>
        <w:jc w:val="both"/>
      </w:pPr>
      <w:r>
        <w:rPr>
          <w:rFonts w:ascii="Times New Roman"/>
          <w:b w:val="false"/>
          <w:i w:val="false"/>
          <w:color w:val="000000"/>
          <w:sz w:val="28"/>
        </w:rPr>
        <w:t>
      11) special storage conditions,</w:t>
      </w:r>
    </w:p>
    <w:bookmarkEnd w:id="62"/>
    <w:bookmarkStart w:name="z65" w:id="63"/>
    <w:p>
      <w:pPr>
        <w:spacing w:after="0"/>
        <w:ind w:left="0"/>
        <w:jc w:val="both"/>
      </w:pPr>
      <w:r>
        <w:rPr>
          <w:rFonts w:ascii="Times New Roman"/>
          <w:b w:val="false"/>
          <w:i w:val="false"/>
          <w:color w:val="000000"/>
          <w:sz w:val="28"/>
        </w:rPr>
        <w:t>
      12) the results of examination for transfusion infections.</w:t>
      </w:r>
    </w:p>
    <w:bookmarkEnd w:id="63"/>
    <w:bookmarkStart w:name="z66" w:id="64"/>
    <w:p>
      <w:pPr>
        <w:spacing w:after="0"/>
        <w:ind w:left="0"/>
        <w:jc w:val="both"/>
      </w:pPr>
      <w:r>
        <w:rPr>
          <w:rFonts w:ascii="Times New Roman"/>
          <w:b w:val="false"/>
          <w:i w:val="false"/>
          <w:color w:val="000000"/>
          <w:sz w:val="28"/>
        </w:rPr>
        <w:t>
      14. The cells that make up the ATMP are harvested from voluntary and non-remunerated donors.</w:t>
      </w:r>
    </w:p>
    <w:bookmarkEnd w:id="64"/>
    <w:bookmarkStart w:name="z67" w:id="65"/>
    <w:p>
      <w:pPr>
        <w:spacing w:after="0"/>
        <w:ind w:left="0"/>
        <w:jc w:val="both"/>
      </w:pPr>
      <w:r>
        <w:rPr>
          <w:rFonts w:ascii="Times New Roman"/>
          <w:b w:val="false"/>
          <w:i w:val="false"/>
          <w:color w:val="000000"/>
          <w:sz w:val="28"/>
        </w:rPr>
        <w:t>
      15. ATMP is transported in accordance with the requirements for storage conditions according to the instructions of the ATMP manufacturer.</w:t>
      </w:r>
    </w:p>
    <w:bookmarkEnd w:id="65"/>
    <w:bookmarkStart w:name="z68" w:id="66"/>
    <w:p>
      <w:pPr>
        <w:spacing w:after="0"/>
        <w:ind w:left="0"/>
        <w:jc w:val="both"/>
      </w:pPr>
      <w:r>
        <w:rPr>
          <w:rFonts w:ascii="Times New Roman"/>
          <w:b w:val="false"/>
          <w:i w:val="false"/>
          <w:color w:val="000000"/>
          <w:sz w:val="28"/>
        </w:rPr>
        <w:t>
      16. The medical facility using ATMP appoints a pharmacovigilance officer for the ATMP, who ensures:</w:t>
      </w:r>
    </w:p>
    <w:bookmarkEnd w:id="66"/>
    <w:bookmarkStart w:name="z69" w:id="67"/>
    <w:p>
      <w:pPr>
        <w:spacing w:after="0"/>
        <w:ind w:left="0"/>
        <w:jc w:val="both"/>
      </w:pPr>
      <w:r>
        <w:rPr>
          <w:rFonts w:ascii="Times New Roman"/>
          <w:b w:val="false"/>
          <w:i w:val="false"/>
          <w:color w:val="000000"/>
          <w:sz w:val="28"/>
        </w:rPr>
        <w:t>
      1) the analysis and comparison of all received information on suspicious adverse reactions;</w:t>
      </w:r>
    </w:p>
    <w:bookmarkEnd w:id="67"/>
    <w:bookmarkStart w:name="z70" w:id="68"/>
    <w:p>
      <w:pPr>
        <w:spacing w:after="0"/>
        <w:ind w:left="0"/>
        <w:jc w:val="both"/>
      </w:pPr>
      <w:r>
        <w:rPr>
          <w:rFonts w:ascii="Times New Roman"/>
          <w:b w:val="false"/>
          <w:i w:val="false"/>
          <w:color w:val="000000"/>
          <w:sz w:val="28"/>
        </w:rPr>
        <w:t>
      2) the provision of a report on the effectiveness and safety of ATMP to the manufacturing organization within the first two years of the administration of ATMP.</w:t>
      </w:r>
    </w:p>
    <w:bookmarkEnd w:id="68"/>
    <w:bookmarkStart w:name="z71" w:id="69"/>
    <w:p>
      <w:pPr>
        <w:spacing w:after="0"/>
        <w:ind w:left="0"/>
        <w:jc w:val="both"/>
      </w:pPr>
      <w:r>
        <w:rPr>
          <w:rFonts w:ascii="Times New Roman"/>
          <w:b w:val="false"/>
          <w:i w:val="false"/>
          <w:color w:val="000000"/>
          <w:sz w:val="28"/>
        </w:rPr>
        <w:t>
      17. The medical facility informs the manufacturing organization of any serious adverse reactions during treatment with ATMP.</w:t>
      </w:r>
    </w:p>
    <w:bookmarkEnd w:id="69"/>
    <w:bookmarkStart w:name="z72" w:id="70"/>
    <w:p>
      <w:pPr>
        <w:spacing w:after="0"/>
        <w:ind w:left="0"/>
        <w:jc w:val="both"/>
      </w:pPr>
      <w:r>
        <w:rPr>
          <w:rFonts w:ascii="Times New Roman"/>
          <w:b w:val="false"/>
          <w:i w:val="false"/>
          <w:color w:val="000000"/>
          <w:sz w:val="28"/>
        </w:rPr>
        <w:t>
      18. The informed consent of the patient (his/her legal representative) to the use of ATMP indicates the essence of the proposed treatment, the general characteristics of ATMP, the expected results and possible risks of treatment, as well as the potential advantages of ATMP over traditional methods of treatment.</w:t>
      </w:r>
    </w:p>
    <w:bookmarkEnd w:id="70"/>
    <w:bookmarkStart w:name="z73" w:id="71"/>
    <w:p>
      <w:pPr>
        <w:spacing w:after="0"/>
        <w:ind w:left="0"/>
        <w:jc w:val="left"/>
      </w:pPr>
      <w:r>
        <w:rPr>
          <w:rFonts w:ascii="Times New Roman"/>
          <w:b/>
          <w:i w:val="false"/>
          <w:color w:val="000000"/>
        </w:rPr>
        <w:t xml:space="preserve"> Chapter 3. List of medical facilities eligible to provide treatment under the Hospital exemption</w:t>
      </w:r>
    </w:p>
    <w:bookmarkEnd w:id="71"/>
    <w:bookmarkStart w:name="z74" w:id="72"/>
    <w:p>
      <w:pPr>
        <w:spacing w:after="0"/>
        <w:ind w:left="0"/>
        <w:jc w:val="both"/>
      </w:pPr>
      <w:r>
        <w:rPr>
          <w:rFonts w:ascii="Times New Roman"/>
          <w:b w:val="false"/>
          <w:i w:val="false"/>
          <w:color w:val="000000"/>
          <w:sz w:val="28"/>
        </w:rPr>
        <w:t>
      19. Medical facilities eligible to provide treatment under the Hospital exemption include: national centers, scientific centers and clinical research institutes, university hospitals.</w:t>
      </w:r>
    </w:p>
    <w:bookmarkEnd w:id="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