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b98" w14:textId="ab11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creation and activities of biobanks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ҚР ДСМ-328/2020. Registered with the Ministry of Justice of the Republic of Kazakhstan on December 28, 2020 no. 21927.</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3 of Article 229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Healthcare of the Republic of Kazakhstan dated 17.04.2023 № 74 (shall enter into force upon expiry of ten calendar days from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creation and activities of biobanks.</w:t>
      </w:r>
    </w:p>
    <w:bookmarkEnd w:id="1"/>
    <w:bookmarkStart w:name="z3" w:id="2"/>
    <w:p>
      <w:pPr>
        <w:spacing w:after="0"/>
        <w:ind w:left="0"/>
        <w:jc w:val="both"/>
      </w:pPr>
      <w:r>
        <w:rPr>
          <w:rFonts w:ascii="Times New Roman"/>
          <w:b w:val="false"/>
          <w:i w:val="false"/>
          <w:color w:val="000000"/>
          <w:sz w:val="28"/>
        </w:rPr>
        <w:t>
      2. The Department of Science and Human Resources of the Ministry of Healthcare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execution of measures, stipulated by subclauses 1) and 2) of this clause.</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acting</w:t>
            </w:r>
            <w:r>
              <w:br/>
            </w:r>
            <w:r>
              <w:rPr>
                <w:rFonts w:ascii="Times New Roman"/>
                <w:b w:val="false"/>
                <w:i w:val="false"/>
                <w:color w:val="000000"/>
                <w:sz w:val="20"/>
              </w:rPr>
              <w:t xml:space="preserve"> 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24, 2020 года</w:t>
            </w:r>
            <w:r>
              <w:br/>
            </w:r>
            <w:r>
              <w:rPr>
                <w:rFonts w:ascii="Times New Roman"/>
                <w:b w:val="false"/>
                <w:i w:val="false"/>
                <w:color w:val="000000"/>
                <w:sz w:val="20"/>
              </w:rPr>
              <w:t>№ ҚР ДСМ-328/2020</w:t>
            </w:r>
          </w:p>
        </w:tc>
      </w:tr>
    </w:tbl>
    <w:bookmarkStart w:name="z12" w:id="9"/>
    <w:p>
      <w:pPr>
        <w:spacing w:after="0"/>
        <w:ind w:left="0"/>
        <w:jc w:val="left"/>
      </w:pPr>
      <w:r>
        <w:rPr>
          <w:rFonts w:ascii="Times New Roman"/>
          <w:b/>
          <w:i w:val="false"/>
          <w:color w:val="000000"/>
        </w:rPr>
        <w:t xml:space="preserve"> Rules for creation and activities of biobanks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 Rules for the creation and operation of biobanks (hereinafter referred to as the Rules) have been developed in accordance with paragraph 3 of Article 229 of the Code of the Republic of Kazakhstan "On the health of the people and the health care system" (hereinafter referred to as the Code) and shall determine the procedure for the creation and operation of biobanks.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The following terms and definitions shall be used in these Rules:</w:t>
      </w:r>
    </w:p>
    <w:bookmarkEnd w:id="12"/>
    <w:p>
      <w:pPr>
        <w:spacing w:after="0"/>
        <w:ind w:left="0"/>
        <w:jc w:val="both"/>
      </w:pPr>
      <w:r>
        <w:rPr>
          <w:rFonts w:ascii="Times New Roman"/>
          <w:b w:val="false"/>
          <w:i w:val="false"/>
          <w:color w:val="000000"/>
          <w:sz w:val="28"/>
        </w:rPr>
        <w:t>
      1) biobank - a specialized storage of biological materials for scientific and medical purposes;</w:t>
      </w:r>
    </w:p>
    <w:p>
      <w:pPr>
        <w:spacing w:after="0"/>
        <w:ind w:left="0"/>
        <w:jc w:val="both"/>
      </w:pPr>
      <w:r>
        <w:rPr>
          <w:rFonts w:ascii="Times New Roman"/>
          <w:b w:val="false"/>
          <w:i w:val="false"/>
          <w:color w:val="000000"/>
          <w:sz w:val="28"/>
        </w:rPr>
        <w:t>
      2) biological material - any substance or part thereof obtained from an organic object, such as an individual, animal, plant, microorganism (s) or multicellular organisms that shall be neither animals nor plants.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3. Biological materials stored in biobanks shall be collected in accordance with the legislation of the Republic of Kazakhstan, bioethics standards, in compliance with all requirements for sample preparation, transportation, laboratory processing and storage.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Chapter 2. Procedure for creation of biobanks</w:t>
      </w:r>
    </w:p>
    <w:bookmarkEnd w:id="14"/>
    <w:bookmarkStart w:name="z23" w:id="15"/>
    <w:p>
      <w:pPr>
        <w:spacing w:after="0"/>
        <w:ind w:left="0"/>
        <w:jc w:val="both"/>
      </w:pPr>
      <w:r>
        <w:rPr>
          <w:rFonts w:ascii="Times New Roman"/>
          <w:b w:val="false"/>
          <w:i w:val="false"/>
          <w:color w:val="000000"/>
          <w:sz w:val="28"/>
        </w:rPr>
        <w:t>
      4. A biobank is created on the basis of a healthcare organization, organization of higher and (or) post-graduate education and scientific organization (hereinafter referred to as the research center) on the basis of:</w:t>
      </w:r>
    </w:p>
    <w:bookmarkEnd w:id="15"/>
    <w:bookmarkStart w:name="z24" w:id="16"/>
    <w:p>
      <w:pPr>
        <w:spacing w:after="0"/>
        <w:ind w:left="0"/>
        <w:jc w:val="both"/>
      </w:pPr>
      <w:r>
        <w:rPr>
          <w:rFonts w:ascii="Times New Roman"/>
          <w:b w:val="false"/>
          <w:i w:val="false"/>
          <w:color w:val="000000"/>
          <w:sz w:val="28"/>
        </w:rPr>
        <w:t>
      1) a positive opinion of the Central Commission for Bioethics (hereinafter referred to as the Central Commission), issued in accordance with the Standards for Activities of Bioethics Commissions, approved by the Central Commission (hereinafter referred to as the Standards) according to subclause 4) of clause 3 of article 228 of the Code;</w:t>
      </w:r>
    </w:p>
    <w:bookmarkEnd w:id="16"/>
    <w:bookmarkStart w:name="z25" w:id="17"/>
    <w:p>
      <w:pPr>
        <w:spacing w:after="0"/>
        <w:ind w:left="0"/>
        <w:jc w:val="both"/>
      </w:pPr>
      <w:r>
        <w:rPr>
          <w:rFonts w:ascii="Times New Roman"/>
          <w:b w:val="false"/>
          <w:i w:val="false"/>
          <w:color w:val="000000"/>
          <w:sz w:val="28"/>
        </w:rPr>
        <w:t>
      2) a positive opinion from the Biosafety Commission of the research center (if any) or a biosafety expert from a third party in the absence of a Biosafety Commission at the research site.</w:t>
      </w:r>
    </w:p>
    <w:bookmarkEnd w:id="17"/>
    <w:bookmarkStart w:name="z34" w:id="18"/>
    <w:p>
      <w:pPr>
        <w:spacing w:after="0"/>
        <w:ind w:left="0"/>
        <w:jc w:val="both"/>
      </w:pPr>
      <w:r>
        <w:rPr>
          <w:rFonts w:ascii="Times New Roman"/>
          <w:b w:val="false"/>
          <w:i w:val="false"/>
          <w:color w:val="000000"/>
          <w:sz w:val="28"/>
        </w:rPr>
        <w:t>
      5. The following requirements shall be imposed on the research center on the basis of which the biobank shall be created:</w:t>
      </w:r>
    </w:p>
    <w:bookmarkEnd w:id="18"/>
    <w:p>
      <w:pPr>
        <w:spacing w:after="0"/>
        <w:ind w:left="0"/>
        <w:jc w:val="both"/>
      </w:pPr>
      <w:r>
        <w:rPr>
          <w:rFonts w:ascii="Times New Roman"/>
          <w:b w:val="false"/>
          <w:i w:val="false"/>
          <w:color w:val="000000"/>
          <w:sz w:val="28"/>
        </w:rPr>
        <w:t>
      1) accreditation as a subject of scientific and (or) scientific and technical activities and (or) a license for medical activities;</w:t>
      </w:r>
    </w:p>
    <w:p>
      <w:pPr>
        <w:spacing w:after="0"/>
        <w:ind w:left="0"/>
        <w:jc w:val="both"/>
      </w:pPr>
      <w:r>
        <w:rPr>
          <w:rFonts w:ascii="Times New Roman"/>
          <w:b w:val="false"/>
          <w:i w:val="false"/>
          <w:color w:val="000000"/>
          <w:sz w:val="28"/>
        </w:rPr>
        <w:t>
      2) availability of standard operating procedures for biological and clinical studies (when using biological materials for biomedical purposes and/or clinical studies) and for working with biobanks;</w:t>
      </w:r>
    </w:p>
    <w:p>
      <w:pPr>
        <w:spacing w:after="0"/>
        <w:ind w:left="0"/>
        <w:jc w:val="both"/>
      </w:pPr>
      <w:r>
        <w:rPr>
          <w:rFonts w:ascii="Times New Roman"/>
          <w:b w:val="false"/>
          <w:i w:val="false"/>
          <w:color w:val="000000"/>
          <w:sz w:val="28"/>
        </w:rPr>
        <w:t>
      3) availability of personnel having specialized education and a document on training in good clinical practice (Good Clinical Practice) of standards of good pharmaceutical practices approved in accordance with subparagraph 9) of Article 10 of the Code (hereinafter referred to as the GCP standard) when using biological materials for medical purposes and/or clinical studies);</w:t>
      </w:r>
    </w:p>
    <w:p>
      <w:pPr>
        <w:spacing w:after="0"/>
        <w:ind w:left="0"/>
        <w:jc w:val="both"/>
      </w:pPr>
      <w:r>
        <w:rPr>
          <w:rFonts w:ascii="Times New Roman"/>
          <w:b w:val="false"/>
          <w:i w:val="false"/>
          <w:color w:val="000000"/>
          <w:sz w:val="28"/>
        </w:rPr>
        <w:t>
      4) positive opinion of the Central commission, positive opinion of the Biosafety commission and/or biosafety expert;</w:t>
      </w:r>
    </w:p>
    <w:p>
      <w:pPr>
        <w:spacing w:after="0"/>
        <w:ind w:left="0"/>
        <w:jc w:val="both"/>
      </w:pPr>
      <w:r>
        <w:rPr>
          <w:rFonts w:ascii="Times New Roman"/>
          <w:b w:val="false"/>
          <w:i w:val="false"/>
          <w:color w:val="000000"/>
          <w:sz w:val="28"/>
        </w:rPr>
        <w:t>
      5) availability of a protocol for assessing the biological risks of the procedures performed;</w:t>
      </w:r>
    </w:p>
    <w:p>
      <w:pPr>
        <w:spacing w:after="0"/>
        <w:ind w:left="0"/>
        <w:jc w:val="both"/>
      </w:pPr>
      <w:r>
        <w:rPr>
          <w:rFonts w:ascii="Times New Roman"/>
          <w:b w:val="false"/>
          <w:i w:val="false"/>
          <w:color w:val="000000"/>
          <w:sz w:val="28"/>
        </w:rPr>
        <w:t>
      6) regulation on the Biosafety commission of the research center;</w:t>
      </w:r>
    </w:p>
    <w:p>
      <w:pPr>
        <w:spacing w:after="0"/>
        <w:ind w:left="0"/>
        <w:jc w:val="both"/>
      </w:pPr>
      <w:r>
        <w:rPr>
          <w:rFonts w:ascii="Times New Roman"/>
          <w:b w:val="false"/>
          <w:i w:val="false"/>
          <w:color w:val="000000"/>
          <w:sz w:val="28"/>
        </w:rPr>
        <w:t>
      7) the presence of a three-level system of physical protection (when storing biological materials belonging to groups 1-2 of pathogenicity);</w:t>
      </w:r>
    </w:p>
    <w:p>
      <w:pPr>
        <w:spacing w:after="0"/>
        <w:ind w:left="0"/>
        <w:jc w:val="both"/>
      </w:pPr>
      <w:r>
        <w:rPr>
          <w:rFonts w:ascii="Times New Roman"/>
          <w:b w:val="false"/>
          <w:i w:val="false"/>
          <w:color w:val="000000"/>
          <w:sz w:val="28"/>
        </w:rPr>
        <w:t>
      8) availability of permission to work with pathogenicity groups I, II, III and/or IV (in accordance with the pathogenicity group of stored biological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6. To receive an opinion of the Central Commission, the research center submits an application for creation of a biobank to the Central Commission and attaches the following documents:</w:t>
      </w:r>
    </w:p>
    <w:bookmarkEnd w:id="19"/>
    <w:bookmarkStart w:name="z36" w:id="20"/>
    <w:p>
      <w:pPr>
        <w:spacing w:after="0"/>
        <w:ind w:left="0"/>
        <w:jc w:val="both"/>
      </w:pPr>
      <w:r>
        <w:rPr>
          <w:rFonts w:ascii="Times New Roman"/>
          <w:b w:val="false"/>
          <w:i w:val="false"/>
          <w:color w:val="000000"/>
          <w:sz w:val="28"/>
        </w:rPr>
        <w:t>
      1) application indicating the name of a biobank;</w:t>
      </w:r>
    </w:p>
    <w:bookmarkEnd w:id="20"/>
    <w:bookmarkStart w:name="z37" w:id="21"/>
    <w:p>
      <w:pPr>
        <w:spacing w:after="0"/>
        <w:ind w:left="0"/>
        <w:jc w:val="both"/>
      </w:pPr>
      <w:r>
        <w:rPr>
          <w:rFonts w:ascii="Times New Roman"/>
          <w:b w:val="false"/>
          <w:i w:val="false"/>
          <w:color w:val="000000"/>
          <w:sz w:val="28"/>
        </w:rPr>
        <w:t>
      2) legal and financial details of the biobank owner;</w:t>
      </w:r>
    </w:p>
    <w:bookmarkEnd w:id="21"/>
    <w:bookmarkStart w:name="z38" w:id="22"/>
    <w:p>
      <w:pPr>
        <w:spacing w:after="0"/>
        <w:ind w:left="0"/>
        <w:jc w:val="both"/>
      </w:pPr>
      <w:r>
        <w:rPr>
          <w:rFonts w:ascii="Times New Roman"/>
          <w:b w:val="false"/>
          <w:i w:val="false"/>
          <w:color w:val="000000"/>
          <w:sz w:val="28"/>
        </w:rPr>
        <w:t>
      3) information on the location and methods of storing and coding biological samples, as well as the data associated with these samples, and the conditions for managing this data;</w:t>
      </w:r>
    </w:p>
    <w:bookmarkEnd w:id="22"/>
    <w:bookmarkStart w:name="z39" w:id="23"/>
    <w:p>
      <w:pPr>
        <w:spacing w:after="0"/>
        <w:ind w:left="0"/>
        <w:jc w:val="both"/>
      </w:pPr>
      <w:r>
        <w:rPr>
          <w:rFonts w:ascii="Times New Roman"/>
          <w:b w:val="false"/>
          <w:i w:val="false"/>
          <w:color w:val="000000"/>
          <w:sz w:val="28"/>
        </w:rPr>
        <w:t>
      4) a description of the field (s) of biobank activity, principles and conditions that apply to the collection and storage of biological samples and data; providing access to them for research and other uses of biological samples, information and restrictions regarding the use of biological samples;</w:t>
      </w:r>
    </w:p>
    <w:bookmarkEnd w:id="23"/>
    <w:bookmarkStart w:name="z40" w:id="24"/>
    <w:p>
      <w:pPr>
        <w:spacing w:after="0"/>
        <w:ind w:left="0"/>
        <w:jc w:val="both"/>
      </w:pPr>
      <w:r>
        <w:rPr>
          <w:rFonts w:ascii="Times New Roman"/>
          <w:b w:val="false"/>
          <w:i w:val="false"/>
          <w:color w:val="000000"/>
          <w:sz w:val="28"/>
        </w:rPr>
        <w:t>
      5) approved form of the informed consent;</w:t>
      </w:r>
    </w:p>
    <w:bookmarkEnd w:id="24"/>
    <w:bookmarkStart w:name="z41" w:id="25"/>
    <w:p>
      <w:pPr>
        <w:spacing w:after="0"/>
        <w:ind w:left="0"/>
        <w:jc w:val="both"/>
      </w:pPr>
      <w:r>
        <w:rPr>
          <w:rFonts w:ascii="Times New Roman"/>
          <w:b w:val="false"/>
          <w:i w:val="false"/>
          <w:color w:val="000000"/>
          <w:sz w:val="28"/>
        </w:rPr>
        <w:t>
      6) information about procedures of record-keeping, destruction of biological samples and personal data;</w:t>
      </w:r>
    </w:p>
    <w:bookmarkEnd w:id="25"/>
    <w:bookmarkStart w:name="z42" w:id="26"/>
    <w:p>
      <w:pPr>
        <w:spacing w:after="0"/>
        <w:ind w:left="0"/>
        <w:jc w:val="both"/>
      </w:pPr>
      <w:r>
        <w:rPr>
          <w:rFonts w:ascii="Times New Roman"/>
          <w:b w:val="false"/>
          <w:i w:val="false"/>
          <w:color w:val="000000"/>
          <w:sz w:val="28"/>
        </w:rPr>
        <w:t>
      7) information about available trained personnel, responsible for collection and storage of biological samples and data, provision of access to them, conducting the research.</w:t>
      </w:r>
    </w:p>
    <w:bookmarkEnd w:id="26"/>
    <w:bookmarkStart w:name="z43" w:id="27"/>
    <w:p>
      <w:pPr>
        <w:spacing w:after="0"/>
        <w:ind w:left="0"/>
        <w:jc w:val="both"/>
      </w:pPr>
      <w:r>
        <w:rPr>
          <w:rFonts w:ascii="Times New Roman"/>
          <w:b w:val="false"/>
          <w:i w:val="false"/>
          <w:color w:val="000000"/>
          <w:sz w:val="28"/>
        </w:rPr>
        <w:t>
      7. The term for consideration by the Central Commission of an application for creating a biobank does not exceed thirty calendar days after receiving the request.</w:t>
      </w:r>
    </w:p>
    <w:bookmarkEnd w:id="27"/>
    <w:bookmarkStart w:name="z44" w:id="28"/>
    <w:p>
      <w:pPr>
        <w:spacing w:after="0"/>
        <w:ind w:left="0"/>
        <w:jc w:val="both"/>
      </w:pPr>
      <w:r>
        <w:rPr>
          <w:rFonts w:ascii="Times New Roman"/>
          <w:b w:val="false"/>
          <w:i w:val="false"/>
          <w:color w:val="000000"/>
          <w:sz w:val="28"/>
        </w:rPr>
        <w:t>
      8. If necessary, the Central Commission requests clarifications from the research center on specific provisions in the submitted list of documents. The time required for the submission by the research center of the data is not included in the processing time of the application by the Central Commission and does not exceed sixty calendar days.</w:t>
      </w:r>
    </w:p>
    <w:bookmarkEnd w:id="28"/>
    <w:bookmarkStart w:name="z45" w:id="29"/>
    <w:p>
      <w:pPr>
        <w:spacing w:after="0"/>
        <w:ind w:left="0"/>
        <w:jc w:val="both"/>
      </w:pPr>
      <w:r>
        <w:rPr>
          <w:rFonts w:ascii="Times New Roman"/>
          <w:b w:val="false"/>
          <w:i w:val="false"/>
          <w:color w:val="000000"/>
          <w:sz w:val="28"/>
        </w:rPr>
        <w:t>
      9. The Central Commission shall make one of the following decisions:</w:t>
      </w:r>
    </w:p>
    <w:bookmarkEnd w:id="29"/>
    <w:bookmarkStart w:name="z46" w:id="30"/>
    <w:p>
      <w:pPr>
        <w:spacing w:after="0"/>
        <w:ind w:left="0"/>
        <w:jc w:val="both"/>
      </w:pPr>
      <w:r>
        <w:rPr>
          <w:rFonts w:ascii="Times New Roman"/>
          <w:b w:val="false"/>
          <w:i w:val="false"/>
          <w:color w:val="000000"/>
          <w:sz w:val="28"/>
        </w:rPr>
        <w:t>
      1) on approval of creation of a biobank;</w:t>
      </w:r>
    </w:p>
    <w:bookmarkEnd w:id="30"/>
    <w:bookmarkStart w:name="z47" w:id="31"/>
    <w:p>
      <w:pPr>
        <w:spacing w:after="0"/>
        <w:ind w:left="0"/>
        <w:jc w:val="both"/>
      </w:pPr>
      <w:r>
        <w:rPr>
          <w:rFonts w:ascii="Times New Roman"/>
          <w:b w:val="false"/>
          <w:i w:val="false"/>
          <w:color w:val="000000"/>
          <w:sz w:val="28"/>
        </w:rPr>
        <w:t>
      2) on the need to finalize the application documents for the creation of a biobank;</w:t>
      </w:r>
    </w:p>
    <w:bookmarkEnd w:id="31"/>
    <w:bookmarkStart w:name="z48" w:id="32"/>
    <w:p>
      <w:pPr>
        <w:spacing w:after="0"/>
        <w:ind w:left="0"/>
        <w:jc w:val="both"/>
      </w:pPr>
      <w:r>
        <w:rPr>
          <w:rFonts w:ascii="Times New Roman"/>
          <w:b w:val="false"/>
          <w:i w:val="false"/>
          <w:color w:val="000000"/>
          <w:sz w:val="28"/>
        </w:rPr>
        <w:t>
      3) on refusal to issue an approval for creation of a biobank.</w:t>
      </w:r>
    </w:p>
    <w:bookmarkEnd w:id="32"/>
    <w:bookmarkStart w:name="z49" w:id="33"/>
    <w:p>
      <w:pPr>
        <w:spacing w:after="0"/>
        <w:ind w:left="0"/>
        <w:jc w:val="both"/>
      </w:pPr>
      <w:r>
        <w:rPr>
          <w:rFonts w:ascii="Times New Roman"/>
          <w:b w:val="false"/>
          <w:i w:val="false"/>
          <w:color w:val="000000"/>
          <w:sz w:val="28"/>
        </w:rPr>
        <w:t>
      10. Based on the positive opinion of the Central Commission, the head of the research center issues an act on the creation of a biobank.</w:t>
      </w:r>
    </w:p>
    <w:bookmarkEnd w:id="33"/>
    <w:bookmarkStart w:name="z50" w:id="34"/>
    <w:p>
      <w:pPr>
        <w:spacing w:after="0"/>
        <w:ind w:left="0"/>
        <w:jc w:val="left"/>
      </w:pPr>
      <w:r>
        <w:rPr>
          <w:rFonts w:ascii="Times New Roman"/>
          <w:b/>
          <w:i w:val="false"/>
          <w:color w:val="000000"/>
        </w:rPr>
        <w:t xml:space="preserve"> Chapter 3. Procedure for activities of biobanks</w:t>
      </w:r>
    </w:p>
    <w:bookmarkEnd w:id="34"/>
    <w:bookmarkStart w:name="z58" w:id="35"/>
    <w:p>
      <w:pPr>
        <w:spacing w:after="0"/>
        <w:ind w:left="0"/>
        <w:jc w:val="both"/>
      </w:pPr>
      <w:r>
        <w:rPr>
          <w:rFonts w:ascii="Times New Roman"/>
          <w:b w:val="false"/>
          <w:i w:val="false"/>
          <w:color w:val="000000"/>
          <w:sz w:val="28"/>
        </w:rPr>
        <w:t>
      11. Activity of a biobank shall include:</w:t>
      </w:r>
    </w:p>
    <w:bookmarkEnd w:id="35"/>
    <w:p>
      <w:pPr>
        <w:spacing w:after="0"/>
        <w:ind w:left="0"/>
        <w:jc w:val="both"/>
      </w:pPr>
      <w:r>
        <w:rPr>
          <w:rFonts w:ascii="Times New Roman"/>
          <w:b w:val="false"/>
          <w:i w:val="false"/>
          <w:color w:val="000000"/>
          <w:sz w:val="28"/>
        </w:rPr>
        <w:t>
      1) collecting, the entering visual quality control, storage of samples of biological materials;";</w:t>
      </w:r>
    </w:p>
    <w:p>
      <w:pPr>
        <w:spacing w:after="0"/>
        <w:ind w:left="0"/>
        <w:jc w:val="both"/>
      </w:pPr>
      <w:r>
        <w:rPr>
          <w:rFonts w:ascii="Times New Roman"/>
          <w:b w:val="false"/>
          <w:i w:val="false"/>
          <w:color w:val="000000"/>
          <w:sz w:val="28"/>
        </w:rPr>
        <w:t>
      2) delivery of biological materials to researchers by the criteria of inclusion developed by them;</w:t>
      </w:r>
    </w:p>
    <w:p>
      <w:pPr>
        <w:spacing w:after="0"/>
        <w:ind w:left="0"/>
        <w:jc w:val="both"/>
      </w:pPr>
      <w:r>
        <w:rPr>
          <w:rFonts w:ascii="Times New Roman"/>
          <w:b w:val="false"/>
          <w:i w:val="false"/>
          <w:color w:val="000000"/>
          <w:sz w:val="28"/>
        </w:rPr>
        <w:t>
      3) accounting of the stored samples of biological materials and the medical, demographic and laboratory information associated with them, maintaining the electronic database;</w:t>
      </w:r>
    </w:p>
    <w:p>
      <w:pPr>
        <w:spacing w:after="0"/>
        <w:ind w:left="0"/>
        <w:jc w:val="both"/>
      </w:pPr>
      <w:r>
        <w:rPr>
          <w:rFonts w:ascii="Times New Roman"/>
          <w:b w:val="false"/>
          <w:i w:val="false"/>
          <w:color w:val="000000"/>
          <w:sz w:val="28"/>
        </w:rPr>
        <w:t>
      4) storage of collected collections of samples of biological materials with observance of temperature conditions, with existence of the reserve sources of power supply guaranteeing full safety of the saved-up biomaterial;</w:t>
      </w:r>
    </w:p>
    <w:p>
      <w:pPr>
        <w:spacing w:after="0"/>
        <w:ind w:left="0"/>
        <w:jc w:val="both"/>
      </w:pPr>
      <w:r>
        <w:rPr>
          <w:rFonts w:ascii="Times New Roman"/>
          <w:b w:val="false"/>
          <w:i w:val="false"/>
          <w:color w:val="000000"/>
          <w:sz w:val="28"/>
        </w:rPr>
        <w:t>
      5) rendering services of collecting, processing, storage and analysis of biological materials to researchers and scientific personnel of the research center;</w:t>
      </w:r>
    </w:p>
    <w:p>
      <w:pPr>
        <w:spacing w:after="0"/>
        <w:ind w:left="0"/>
        <w:jc w:val="both"/>
      </w:pPr>
      <w:r>
        <w:rPr>
          <w:rFonts w:ascii="Times New Roman"/>
          <w:b w:val="false"/>
          <w:i w:val="false"/>
          <w:color w:val="000000"/>
          <w:sz w:val="28"/>
        </w:rPr>
        <w:t>
      6) interaction with other Kazakhstan and foreign biobanks;</w:t>
      </w:r>
    </w:p>
    <w:p>
      <w:pPr>
        <w:spacing w:after="0"/>
        <w:ind w:left="0"/>
        <w:jc w:val="both"/>
      </w:pPr>
      <w:r>
        <w:rPr>
          <w:rFonts w:ascii="Times New Roman"/>
          <w:b w:val="false"/>
          <w:i w:val="false"/>
          <w:color w:val="000000"/>
          <w:sz w:val="28"/>
        </w:rPr>
        <w:t>
      7) exchange of samples of biological materials between biobanks and the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xml:space="preserve">
      12. A biobank shall be governed in its activity by the current legislation of the Republic of Kazakhstan in the field of healthcare and science, personal data and their protection, international and national bioethic standards and good practices of conducting biomedical research, these Rules, internal regulatory documents of the research center, orders and instructions of the first head of the research center. </w:t>
      </w:r>
    </w:p>
    <w:bookmarkEnd w:id="36"/>
    <w:bookmarkStart w:name="z60" w:id="37"/>
    <w:p>
      <w:pPr>
        <w:spacing w:after="0"/>
        <w:ind w:left="0"/>
        <w:jc w:val="both"/>
      </w:pPr>
      <w:r>
        <w:rPr>
          <w:rFonts w:ascii="Times New Roman"/>
          <w:b w:val="false"/>
          <w:i w:val="false"/>
          <w:color w:val="000000"/>
          <w:sz w:val="28"/>
        </w:rPr>
        <w:t>
      13. The general management of the biobank's activities is carried out by the deputy first head for scientific work (in the organization of higher and (or) postgraduate education and in the scientific organization), the deputy first head for the medical part (in the health organization).</w:t>
      </w:r>
    </w:p>
    <w:bookmarkEnd w:id="37"/>
    <w:bookmarkStart w:name="z61" w:id="38"/>
    <w:p>
      <w:pPr>
        <w:spacing w:after="0"/>
        <w:ind w:left="0"/>
        <w:jc w:val="both"/>
      </w:pPr>
      <w:r>
        <w:rPr>
          <w:rFonts w:ascii="Times New Roman"/>
          <w:b w:val="false"/>
          <w:i w:val="false"/>
          <w:color w:val="000000"/>
          <w:sz w:val="28"/>
        </w:rPr>
        <w:t>
      The direct management of the biobank is carried out by the head of the biobank, appointed by the order of the first head of the research center.</w:t>
      </w:r>
    </w:p>
    <w:bookmarkEnd w:id="38"/>
    <w:bookmarkStart w:name="z62" w:id="39"/>
    <w:p>
      <w:pPr>
        <w:spacing w:after="0"/>
        <w:ind w:left="0"/>
        <w:jc w:val="both"/>
      </w:pPr>
      <w:r>
        <w:rPr>
          <w:rFonts w:ascii="Times New Roman"/>
          <w:b w:val="false"/>
          <w:i w:val="false"/>
          <w:color w:val="000000"/>
          <w:sz w:val="28"/>
        </w:rPr>
        <w:t>
      14. The structure and staffing of the biobank is approved by the first head of the research center.</w:t>
      </w:r>
    </w:p>
    <w:bookmarkEnd w:id="39"/>
    <w:bookmarkStart w:name="z63" w:id="40"/>
    <w:p>
      <w:pPr>
        <w:spacing w:after="0"/>
        <w:ind w:left="0"/>
        <w:jc w:val="both"/>
      </w:pPr>
      <w:r>
        <w:rPr>
          <w:rFonts w:ascii="Times New Roman"/>
          <w:b w:val="false"/>
          <w:i w:val="false"/>
          <w:color w:val="000000"/>
          <w:sz w:val="28"/>
        </w:rPr>
        <w:t>
      15. Collection, recording, storage, use and destruction of biological materials and personal data in the biobank shall be carried out in accordance with standard operating procedures.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16. When collecting biological materials, the biobank ensures obtaining the informed consent from the donor of biological materials or his/her legal representative. The transfer of biological materials and personal data by the biobank for their further use in research is carried out on the basis of the informed consent of the donor of biological materials or his/her legal representative, provided that the research is approved by the Local Commission on Bioethics (hereinafter referred to as the Local Commission).</w:t>
      </w:r>
    </w:p>
    <w:bookmarkEnd w:id="41"/>
    <w:bookmarkStart w:name="z65" w:id="42"/>
    <w:p>
      <w:pPr>
        <w:spacing w:after="0"/>
        <w:ind w:left="0"/>
        <w:jc w:val="both"/>
      </w:pPr>
      <w:r>
        <w:rPr>
          <w:rFonts w:ascii="Times New Roman"/>
          <w:b w:val="false"/>
          <w:i w:val="false"/>
          <w:color w:val="000000"/>
          <w:sz w:val="28"/>
        </w:rPr>
        <w:t xml:space="preserve">
      17. Obtaining and documenting the informed consent of the donor of biological materials or his legal representative is provided in accordance with the GCP Standard and bioethical principles. </w:t>
      </w:r>
    </w:p>
    <w:bookmarkEnd w:id="42"/>
    <w:bookmarkStart w:name="z66" w:id="43"/>
    <w:p>
      <w:pPr>
        <w:spacing w:after="0"/>
        <w:ind w:left="0"/>
        <w:jc w:val="both"/>
      </w:pPr>
      <w:r>
        <w:rPr>
          <w:rFonts w:ascii="Times New Roman"/>
          <w:b w:val="false"/>
          <w:i w:val="false"/>
          <w:color w:val="000000"/>
          <w:sz w:val="28"/>
        </w:rPr>
        <w:t>
      18. The written informed consent of the donor of biological materials or his/her legal representative is obtained prior to collection of biological material for research purposes for storage in a biobank, use in research, indicating specific tasks.</w:t>
      </w:r>
    </w:p>
    <w:bookmarkEnd w:id="43"/>
    <w:bookmarkStart w:name="z67" w:id="44"/>
    <w:p>
      <w:pPr>
        <w:spacing w:after="0"/>
        <w:ind w:left="0"/>
        <w:jc w:val="both"/>
      </w:pPr>
      <w:r>
        <w:rPr>
          <w:rFonts w:ascii="Times New Roman"/>
          <w:b w:val="false"/>
          <w:i w:val="false"/>
          <w:color w:val="000000"/>
          <w:sz w:val="28"/>
        </w:rPr>
        <w:t>
      19. Researchers and biobank managers ensure that the privacy and confidentiality of donors of biological materials and their personal information is protected, including information received from donors about others.</w:t>
      </w:r>
    </w:p>
    <w:bookmarkEnd w:id="44"/>
    <w:bookmarkStart w:name="z68" w:id="45"/>
    <w:p>
      <w:pPr>
        <w:spacing w:after="0"/>
        <w:ind w:left="0"/>
        <w:jc w:val="both"/>
      </w:pPr>
      <w:r>
        <w:rPr>
          <w:rFonts w:ascii="Times New Roman"/>
          <w:b w:val="false"/>
          <w:i w:val="false"/>
          <w:color w:val="000000"/>
          <w:sz w:val="28"/>
        </w:rPr>
        <w:t>
      20. When using biological materials, researchers and biobank managers take into account the religious and cultural views and traditions of people or groups of people in communities with respect to the human cell.</w:t>
      </w:r>
    </w:p>
    <w:bookmarkEnd w:id="45"/>
    <w:bookmarkStart w:name="z69" w:id="46"/>
    <w:p>
      <w:pPr>
        <w:spacing w:after="0"/>
        <w:ind w:left="0"/>
        <w:jc w:val="both"/>
      </w:pPr>
      <w:r>
        <w:rPr>
          <w:rFonts w:ascii="Times New Roman"/>
          <w:b w:val="false"/>
          <w:i w:val="false"/>
          <w:color w:val="000000"/>
          <w:sz w:val="28"/>
        </w:rPr>
        <w:t>
      21. The donor who signed the informed consent at any time prohibits the use of his data and (or) biological material stored in the biobank in particular studies.</w:t>
      </w:r>
    </w:p>
    <w:bookmarkEnd w:id="46"/>
    <w:bookmarkStart w:name="z70" w:id="47"/>
    <w:p>
      <w:pPr>
        <w:spacing w:after="0"/>
        <w:ind w:left="0"/>
        <w:jc w:val="both"/>
      </w:pPr>
      <w:r>
        <w:rPr>
          <w:rFonts w:ascii="Times New Roman"/>
          <w:b w:val="false"/>
          <w:i w:val="false"/>
          <w:color w:val="000000"/>
          <w:sz w:val="28"/>
        </w:rPr>
        <w:t>
      22. The local commission reviews and approves all agreements on the provision of access to data and / or biological samples stored in the biobank to ensure the best ethical use of biological samples and data from donors in accordance with their consent.</w:t>
      </w:r>
    </w:p>
    <w:bookmarkEnd w:id="47"/>
    <w:bookmarkStart w:name="z71" w:id="48"/>
    <w:p>
      <w:pPr>
        <w:spacing w:after="0"/>
        <w:ind w:left="0"/>
        <w:jc w:val="both"/>
      </w:pPr>
      <w:r>
        <w:rPr>
          <w:rFonts w:ascii="Times New Roman"/>
          <w:b w:val="false"/>
          <w:i w:val="false"/>
          <w:color w:val="000000"/>
          <w:sz w:val="28"/>
        </w:rPr>
        <w:t xml:space="preserve">
      23. The activity of the biobank is subject to internal and external monitoring. </w:t>
      </w:r>
    </w:p>
    <w:bookmarkEnd w:id="48"/>
    <w:bookmarkStart w:name="z72" w:id="49"/>
    <w:p>
      <w:pPr>
        <w:spacing w:after="0"/>
        <w:ind w:left="0"/>
        <w:jc w:val="both"/>
      </w:pPr>
      <w:r>
        <w:rPr>
          <w:rFonts w:ascii="Times New Roman"/>
          <w:b w:val="false"/>
          <w:i w:val="false"/>
          <w:color w:val="000000"/>
          <w:sz w:val="28"/>
        </w:rPr>
        <w:t>
      The Research Center, which is creating the biobank, provides an internal monitoring procedure. Internal monitoring is carried out annually in accordance with the procedure established in the quality management system manual. External monitoring is carried out by the Central Commission once every 5 years.</w:t>
      </w:r>
    </w:p>
    <w:bookmarkEnd w:id="49"/>
    <w:bookmarkStart w:name="z73" w:id="50"/>
    <w:p>
      <w:pPr>
        <w:spacing w:after="0"/>
        <w:ind w:left="0"/>
        <w:jc w:val="both"/>
      </w:pPr>
      <w:r>
        <w:rPr>
          <w:rFonts w:ascii="Times New Roman"/>
          <w:b w:val="false"/>
          <w:i w:val="false"/>
          <w:color w:val="000000"/>
          <w:sz w:val="28"/>
        </w:rPr>
        <w:t>
      The procedures for the collection, storage and use of biological samples, collection, registration, storage, protection and transmission of personal data are subject to monitoring..</w:t>
      </w:r>
    </w:p>
    <w:bookmarkEnd w:id="50"/>
    <w:p>
      <w:pPr>
        <w:spacing w:after="0"/>
        <w:ind w:left="0"/>
        <w:jc w:val="both"/>
      </w:pPr>
      <w:r>
        <w:rPr>
          <w:rFonts w:ascii="Times New Roman"/>
          <w:b w:val="false"/>
          <w:i w:val="false"/>
          <w:color w:val="000000"/>
          <w:sz w:val="28"/>
        </w:rPr>
        <w:t>
      24. When the research center decides to close the biobank or destroy biological samples, personal data stored in the biobank, the research center:</w:t>
      </w:r>
    </w:p>
    <w:p>
      <w:pPr>
        <w:spacing w:after="0"/>
        <w:ind w:left="0"/>
        <w:jc w:val="both"/>
      </w:pPr>
      <w:r>
        <w:rPr>
          <w:rFonts w:ascii="Times New Roman"/>
          <w:b w:val="false"/>
          <w:i w:val="false"/>
          <w:color w:val="000000"/>
          <w:sz w:val="28"/>
        </w:rPr>
        <w:t>
      1) notify the Central commission;</w:t>
      </w:r>
    </w:p>
    <w:p>
      <w:pPr>
        <w:spacing w:after="0"/>
        <w:ind w:left="0"/>
        <w:jc w:val="both"/>
      </w:pPr>
      <w:r>
        <w:rPr>
          <w:rFonts w:ascii="Times New Roman"/>
          <w:b w:val="false"/>
          <w:i w:val="false"/>
          <w:color w:val="000000"/>
          <w:sz w:val="28"/>
        </w:rPr>
        <w:t>
      2) ensure the destruction of personal data, as well as biological samples in accordance with the procedure for the collection, storage, transportation and disposal of medical waste in accordance with the order of the acting Minister of Healthcare of the Republic of Kazakhstan dated December 25, 2020 № RK MH-331/2020 "On approval of sanitary Rules" Sanitary and epidemiological requirements for the collection, use, neutralization, transportation, storage and disposal of production and consumption waste;</w:t>
      </w:r>
    </w:p>
    <w:p>
      <w:pPr>
        <w:spacing w:after="0"/>
        <w:ind w:left="0"/>
        <w:jc w:val="both"/>
      </w:pPr>
      <w:r>
        <w:rPr>
          <w:rFonts w:ascii="Times New Roman"/>
          <w:b w:val="false"/>
          <w:i w:val="false"/>
          <w:color w:val="000000"/>
          <w:sz w:val="28"/>
        </w:rPr>
        <w:t>
      3) ensure the transfer of biological samples, personal data on material carriers to another biobank operating on the basis of a research center - a 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Minister of Healthcare of the Republic of Kazakhstan dated 17.04.2023 № 74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