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67fb3" w14:textId="7367f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creation and activities of biobanks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Acting Minister of Healthcare of the Republic of Kazakhstan dated December 24, 2020 no. ҚР ДСМ-328/2020. Registered with the Ministry of Justice of the Republic of Kazakhstan on December 28, 2020 no. 21927</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In accordance with clause 3 of article 229 of the Code of the Republic of Kazakhstan dated July 7, 2020 "On Public Health and Healthcare System" I HEREBY ORDER:</w:t>
      </w:r>
    </w:p>
    <w:bookmarkEnd w:id="0"/>
    <w:bookmarkStart w:name="z2" w:id="1"/>
    <w:p>
      <w:pPr>
        <w:spacing w:after="0"/>
        <w:ind w:left="0"/>
        <w:jc w:val="both"/>
      </w:pPr>
      <w:r>
        <w:rPr>
          <w:rFonts w:ascii="Times New Roman"/>
          <w:b w:val="false"/>
          <w:i w:val="false"/>
          <w:color w:val="000000"/>
          <w:sz w:val="28"/>
        </w:rPr>
        <w:t>
      1. To approve the attached Rules for creation and activities of biobanks.</w:t>
      </w:r>
    </w:p>
    <w:bookmarkEnd w:id="1"/>
    <w:bookmarkStart w:name="z3" w:id="2"/>
    <w:p>
      <w:pPr>
        <w:spacing w:after="0"/>
        <w:ind w:left="0"/>
        <w:jc w:val="both"/>
      </w:pPr>
      <w:r>
        <w:rPr>
          <w:rFonts w:ascii="Times New Roman"/>
          <w:b w:val="false"/>
          <w:i w:val="false"/>
          <w:color w:val="000000"/>
          <w:sz w:val="28"/>
        </w:rPr>
        <w:t>
      2. The Department of Science and Human Resources of the Ministry of Healthcare of the Republic of Kazakhstan, in accordance with the procedure, established by the legislation of the Republic of Kazakhstan, shall ensure:</w:t>
      </w:r>
    </w:p>
    <w:bookmarkEnd w:id="2"/>
    <w:bookmarkStart w:name="z4" w:id="3"/>
    <w:p>
      <w:pPr>
        <w:spacing w:after="0"/>
        <w:ind w:left="0"/>
        <w:jc w:val="both"/>
      </w:pPr>
      <w:r>
        <w:rPr>
          <w:rFonts w:ascii="Times New Roman"/>
          <w:b w:val="false"/>
          <w:i w:val="false"/>
          <w:color w:val="000000"/>
          <w:sz w:val="28"/>
        </w:rPr>
        <w:t>
      1) state registration of this order with the Ministry of Justice of the Republic of Kazakhstan;</w:t>
      </w:r>
    </w:p>
    <w:bookmarkEnd w:id="3"/>
    <w:bookmarkStart w:name="z5" w:id="4"/>
    <w:p>
      <w:pPr>
        <w:spacing w:after="0"/>
        <w:ind w:left="0"/>
        <w:jc w:val="both"/>
      </w:pPr>
      <w:r>
        <w:rPr>
          <w:rFonts w:ascii="Times New Roman"/>
          <w:b w:val="false"/>
          <w:i w:val="false"/>
          <w:color w:val="000000"/>
          <w:sz w:val="28"/>
        </w:rPr>
        <w:t>
      2) placement of this order on the Internet resource of the Ministry of Healthcare of the Republic of Kazakhstan after its official publication;</w:t>
      </w:r>
    </w:p>
    <w:bookmarkEnd w:id="4"/>
    <w:bookmarkStart w:name="z6" w:id="5"/>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submission to the Legal Department of the Ministry of Healthcare of the Republic of Kazakhstan of information about execution of measures, stipulated by subclauses 1) and 2) of this clause.</w:t>
      </w:r>
    </w:p>
    <w:bookmarkEnd w:id="5"/>
    <w:bookmarkStart w:name="z7" w:id="6"/>
    <w:p>
      <w:pPr>
        <w:spacing w:after="0"/>
        <w:ind w:left="0"/>
        <w:jc w:val="both"/>
      </w:pPr>
      <w:r>
        <w:rPr>
          <w:rFonts w:ascii="Times New Roman"/>
          <w:b w:val="false"/>
          <w:i w:val="false"/>
          <w:color w:val="000000"/>
          <w:sz w:val="28"/>
        </w:rPr>
        <w:t>
      3. Control over execution of this order shall be entrusted to the supervising Vice-Minister of Healthcare of the Republic of Kazakhstan.</w:t>
      </w:r>
    </w:p>
    <w:bookmarkEnd w:id="6"/>
    <w:bookmarkStart w:name="z8" w:id="7"/>
    <w:p>
      <w:pPr>
        <w:spacing w:after="0"/>
        <w:ind w:left="0"/>
        <w:jc w:val="both"/>
      </w:pPr>
      <w:r>
        <w:rPr>
          <w:rFonts w:ascii="Times New Roman"/>
          <w:b w:val="false"/>
          <w:i w:val="false"/>
          <w:color w:val="000000"/>
          <w:sz w:val="28"/>
        </w:rPr>
        <w:t>
      4. This order shall come into force upon expiry of ten calendar days from the date of its first official publication.</w:t>
      </w:r>
    </w:p>
    <w:bookmarkEnd w:id="7"/>
    <w:tbl>
      <w:tblPr>
        <w:tblW w:w="0" w:type="auto"/>
        <w:tblCellSpacing w:w="0" w:type="auto"/>
        <w:tblBorders>
          <w:top w:val="none"/>
          <w:left w:val="none"/>
          <w:bottom w:val="none"/>
          <w:right w:val="none"/>
          <w:insideH w:val="none"/>
          <w:insideV w:val="none"/>
        </w:tblBorders>
      </w:tblPr>
      <w:tblGrid>
        <w:gridCol w:w="7784"/>
        <w:gridCol w:w="4216"/>
      </w:tblGrid>
      <w:tr>
        <w:trPr>
          <w:trHeight w:val="30" w:hRule="atLeast"/>
        </w:trPr>
        <w:tc>
          <w:tcPr>
            <w:tcW w:w="778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Acting Minister of Healthcare</w:t>
            </w:r>
            <w:r>
              <w:br/>
            </w:r>
            <w:r>
              <w:rPr>
                <w:rFonts w:ascii="Times New Roman"/>
                <w:b w:val="false"/>
                <w:i/>
                <w:color w:val="000000"/>
                <w:sz w:val="20"/>
              </w:rPr>
              <w:t xml:space="preserve"> of the Republic of Kazakhstan </w:t>
            </w:r>
            <w:r>
              <w:rPr>
                <w:rFonts w:ascii="Times New Roman"/>
                <w:b w:val="false"/>
                <w:i w:val="false"/>
                <w:color w:val="000000"/>
                <w:sz w:val="20"/>
              </w:rPr>
              <w:t>
</w:t>
            </w:r>
          </w:p>
        </w:tc>
        <w:tc>
          <w:tcPr>
            <w:tcW w:w="421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 Shoranov</w:t>
            </w:r>
            <w:r>
              <w:rPr>
                <w:rFonts w:ascii="Times New Roman"/>
                <w:b w:val="false"/>
                <w:i w:val="false"/>
                <w:color w:val="000000"/>
                <w:sz w:val="20"/>
              </w:rPr>
              <w:t>
</w:t>
            </w:r>
          </w:p>
        </w:tc>
      </w:tr>
    </w:tbl>
    <w:bookmarkStart w:name="z10" w:id="8"/>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Education and Science</w:t>
      </w:r>
      <w:r>
        <w:br/>
      </w:r>
      <w:r>
        <w:rPr>
          <w:rFonts w:ascii="Times New Roman"/>
          <w:b w:val="false"/>
          <w:i w:val="false"/>
          <w:color w:val="000000"/>
          <w:sz w:val="28"/>
        </w:rPr>
        <w:t>of the Republic of Kazakhstan</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the order of the acting</w:t>
            </w:r>
            <w:r>
              <w:br/>
            </w:r>
            <w:r>
              <w:rPr>
                <w:rFonts w:ascii="Times New Roman"/>
                <w:b w:val="false"/>
                <w:i w:val="false"/>
                <w:color w:val="000000"/>
                <w:sz w:val="20"/>
              </w:rPr>
              <w:t xml:space="preserve"> Minister of Healthcare of the </w:t>
            </w:r>
            <w:r>
              <w:br/>
            </w:r>
            <w:r>
              <w:rPr>
                <w:rFonts w:ascii="Times New Roman"/>
                <w:b w:val="false"/>
                <w:i w:val="false"/>
                <w:color w:val="000000"/>
                <w:sz w:val="20"/>
              </w:rPr>
              <w:t>Republic of Kazakhstan</w:t>
            </w:r>
            <w:r>
              <w:br/>
            </w:r>
            <w:r>
              <w:rPr>
                <w:rFonts w:ascii="Times New Roman"/>
                <w:b w:val="false"/>
                <w:i w:val="false"/>
                <w:color w:val="000000"/>
                <w:sz w:val="20"/>
              </w:rPr>
              <w:t>dated December 24, 2020 года</w:t>
            </w:r>
            <w:r>
              <w:br/>
            </w:r>
            <w:r>
              <w:rPr>
                <w:rFonts w:ascii="Times New Roman"/>
                <w:b w:val="false"/>
                <w:i w:val="false"/>
                <w:color w:val="000000"/>
                <w:sz w:val="20"/>
              </w:rPr>
              <w:t>№ ҚР ДСМ-328/2020</w:t>
            </w:r>
          </w:p>
        </w:tc>
      </w:tr>
    </w:tbl>
    <w:bookmarkStart w:name="z12" w:id="9"/>
    <w:p>
      <w:pPr>
        <w:spacing w:after="0"/>
        <w:ind w:left="0"/>
        <w:jc w:val="left"/>
      </w:pPr>
      <w:r>
        <w:rPr>
          <w:rFonts w:ascii="Times New Roman"/>
          <w:b/>
          <w:i w:val="false"/>
          <w:color w:val="000000"/>
        </w:rPr>
        <w:t xml:space="preserve"> Rules for creation and activities of biobanks</w:t>
      </w:r>
    </w:p>
    <w:bookmarkEnd w:id="9"/>
    <w:bookmarkStart w:name="z13" w:id="10"/>
    <w:p>
      <w:pPr>
        <w:spacing w:after="0"/>
        <w:ind w:left="0"/>
        <w:jc w:val="left"/>
      </w:pPr>
      <w:r>
        <w:rPr>
          <w:rFonts w:ascii="Times New Roman"/>
          <w:b/>
          <w:i w:val="false"/>
          <w:color w:val="000000"/>
        </w:rPr>
        <w:t xml:space="preserve"> Chapter 1. General Provisions</w:t>
      </w:r>
    </w:p>
    <w:bookmarkEnd w:id="10"/>
    <w:bookmarkStart w:name="z14" w:id="11"/>
    <w:p>
      <w:pPr>
        <w:spacing w:after="0"/>
        <w:ind w:left="0"/>
        <w:jc w:val="both"/>
      </w:pPr>
      <w:r>
        <w:rPr>
          <w:rFonts w:ascii="Times New Roman"/>
          <w:b w:val="false"/>
          <w:i w:val="false"/>
          <w:color w:val="000000"/>
          <w:sz w:val="28"/>
        </w:rPr>
        <w:t>
      1. Rules for creation and activities of biobanks (hereinafter referred to as the Rules), have been developed in accordance with clause 3 of article 229 of the Code of the Republic of Kazakhstan dated July 7, 2020 "On Public Health and Healthcare System" (hereinafter referred to as the Code) and shall determine the procedure for creation and activities of biobanks.</w:t>
      </w:r>
    </w:p>
    <w:bookmarkEnd w:id="11"/>
    <w:bookmarkStart w:name="z15" w:id="12"/>
    <w:p>
      <w:pPr>
        <w:spacing w:after="0"/>
        <w:ind w:left="0"/>
        <w:jc w:val="both"/>
      </w:pPr>
      <w:r>
        <w:rPr>
          <w:rFonts w:ascii="Times New Roman"/>
          <w:b w:val="false"/>
          <w:i w:val="false"/>
          <w:color w:val="000000"/>
          <w:sz w:val="28"/>
        </w:rPr>
        <w:t>
      2. The following terms and definitions are used in these Rules:</w:t>
      </w:r>
    </w:p>
    <w:bookmarkEnd w:id="12"/>
    <w:bookmarkStart w:name="z16" w:id="13"/>
    <w:p>
      <w:pPr>
        <w:spacing w:after="0"/>
        <w:ind w:left="0"/>
        <w:jc w:val="both"/>
      </w:pPr>
      <w:r>
        <w:rPr>
          <w:rFonts w:ascii="Times New Roman"/>
          <w:b w:val="false"/>
          <w:i w:val="false"/>
          <w:color w:val="000000"/>
          <w:sz w:val="28"/>
        </w:rPr>
        <w:t>
      1) biobank – a specialized storage of biological materials for scientific and medical purposes (including samples of cells, tissues, deoxyribonucleic, ribonucleic acids of human genetic material and (or) animals and (or) plants, and other biological and genetically modified substances and organisms);</w:t>
      </w:r>
    </w:p>
    <w:bookmarkEnd w:id="13"/>
    <w:bookmarkStart w:name="z17" w:id="14"/>
    <w:p>
      <w:pPr>
        <w:spacing w:after="0"/>
        <w:ind w:left="0"/>
        <w:jc w:val="both"/>
      </w:pPr>
      <w:r>
        <w:rPr>
          <w:rFonts w:ascii="Times New Roman"/>
          <w:b w:val="false"/>
          <w:i w:val="false"/>
          <w:color w:val="000000"/>
          <w:sz w:val="28"/>
        </w:rPr>
        <w:t>
      2) genomic information – coded information about certain fragments of deoxyribonucleic acid of a person or an unidentified corpse, which allows to establish his/her identity, and personal data (if any);</w:t>
      </w:r>
    </w:p>
    <w:bookmarkEnd w:id="14"/>
    <w:bookmarkStart w:name="z18" w:id="15"/>
    <w:p>
      <w:pPr>
        <w:spacing w:after="0"/>
        <w:ind w:left="0"/>
        <w:jc w:val="both"/>
      </w:pPr>
      <w:r>
        <w:rPr>
          <w:rFonts w:ascii="Times New Roman"/>
          <w:b w:val="false"/>
          <w:i w:val="false"/>
          <w:color w:val="000000"/>
          <w:sz w:val="28"/>
        </w:rPr>
        <w:t>
      3) an authorized body in the field of healthcare (hereinafter referred to as the authorized body) – the central executive body carrying out management and cross-sectoral coordination in the field of health protection of citizens of the Republic of Kazakhstan, medical and pharmaceutical science, medical and pharmaceutical education, sanitary and epidemiological well-being of the population, circulation of pharmaceuticals and medical devices, the quality of provision of medical services (assistance);</w:t>
      </w:r>
    </w:p>
    <w:bookmarkEnd w:id="15"/>
    <w:bookmarkStart w:name="z19" w:id="16"/>
    <w:p>
      <w:pPr>
        <w:spacing w:after="0"/>
        <w:ind w:left="0"/>
        <w:jc w:val="both"/>
      </w:pPr>
      <w:r>
        <w:rPr>
          <w:rFonts w:ascii="Times New Roman"/>
          <w:b w:val="false"/>
          <w:i w:val="false"/>
          <w:color w:val="000000"/>
          <w:sz w:val="28"/>
        </w:rPr>
        <w:t>
      4) base, containing personal data – a complex of well-ordered personal data;</w:t>
      </w:r>
    </w:p>
    <w:bookmarkEnd w:id="16"/>
    <w:bookmarkStart w:name="z20" w:id="17"/>
    <w:p>
      <w:pPr>
        <w:spacing w:after="0"/>
        <w:ind w:left="0"/>
        <w:jc w:val="both"/>
      </w:pPr>
      <w:r>
        <w:rPr>
          <w:rFonts w:ascii="Times New Roman"/>
          <w:b w:val="false"/>
          <w:i w:val="false"/>
          <w:color w:val="000000"/>
          <w:sz w:val="28"/>
        </w:rPr>
        <w:t>
      5) biological material of preclinical (nonclinical) and clinical studies – samples of biological fluids, tissues, secretions, cells and waste products of humans and animals, biopsy material, histological sections, smears, scrapings, swabs obtained during preclinical (nonclinical) and clinical studies and intended for laboratory assessment.</w:t>
      </w:r>
    </w:p>
    <w:bookmarkEnd w:id="17"/>
    <w:bookmarkStart w:name="z21" w:id="18"/>
    <w:p>
      <w:pPr>
        <w:spacing w:after="0"/>
        <w:ind w:left="0"/>
        <w:jc w:val="both"/>
      </w:pPr>
      <w:r>
        <w:rPr>
          <w:rFonts w:ascii="Times New Roman"/>
          <w:b w:val="false"/>
          <w:i w:val="false"/>
          <w:color w:val="000000"/>
          <w:sz w:val="28"/>
        </w:rPr>
        <w:t>
      3. Biological materials of preclinical (nonclinical) and clinical studies (hereinafter referred to as the biological materials) stored in biobanks shall be collected in accordance with the legislation of the Republic of Kazakhstan, bioethics standards, in compliance with all requirements for sample preparation, transportation, laboratory processing and storage.</w:t>
      </w:r>
    </w:p>
    <w:bookmarkEnd w:id="18"/>
    <w:bookmarkStart w:name="z22" w:id="19"/>
    <w:p>
      <w:pPr>
        <w:spacing w:after="0"/>
        <w:ind w:left="0"/>
        <w:jc w:val="left"/>
      </w:pPr>
      <w:r>
        <w:rPr>
          <w:rFonts w:ascii="Times New Roman"/>
          <w:b/>
          <w:i w:val="false"/>
          <w:color w:val="000000"/>
        </w:rPr>
        <w:t xml:space="preserve"> Chapter 2. Procedure for creation of biobanks</w:t>
      </w:r>
    </w:p>
    <w:bookmarkEnd w:id="19"/>
    <w:bookmarkStart w:name="z23" w:id="20"/>
    <w:p>
      <w:pPr>
        <w:spacing w:after="0"/>
        <w:ind w:left="0"/>
        <w:jc w:val="both"/>
      </w:pPr>
      <w:r>
        <w:rPr>
          <w:rFonts w:ascii="Times New Roman"/>
          <w:b w:val="false"/>
          <w:i w:val="false"/>
          <w:color w:val="000000"/>
          <w:sz w:val="28"/>
        </w:rPr>
        <w:t>
      4. A biobank is created on the basis of a healthcare organization, organization of higher and (or) post-graduate education and scientific organization (hereinafter referred to as the research center) on the basis of:</w:t>
      </w:r>
    </w:p>
    <w:bookmarkEnd w:id="20"/>
    <w:bookmarkStart w:name="z24" w:id="21"/>
    <w:p>
      <w:pPr>
        <w:spacing w:after="0"/>
        <w:ind w:left="0"/>
        <w:jc w:val="both"/>
      </w:pPr>
      <w:r>
        <w:rPr>
          <w:rFonts w:ascii="Times New Roman"/>
          <w:b w:val="false"/>
          <w:i w:val="false"/>
          <w:color w:val="000000"/>
          <w:sz w:val="28"/>
        </w:rPr>
        <w:t>
      1) a positive opinion of the Central Commission for Bioethics (hereinafter referred to as the Central Commission), issued in accordance with the Standards for Activities of Bioethics Commissions, approved by the Central Commission (hereinafter referred to as the Standards) according to subclause 4) of clause 3 of article 228 of the Code;</w:t>
      </w:r>
    </w:p>
    <w:bookmarkEnd w:id="21"/>
    <w:bookmarkStart w:name="z25" w:id="22"/>
    <w:p>
      <w:pPr>
        <w:spacing w:after="0"/>
        <w:ind w:left="0"/>
        <w:jc w:val="both"/>
      </w:pPr>
      <w:r>
        <w:rPr>
          <w:rFonts w:ascii="Times New Roman"/>
          <w:b w:val="false"/>
          <w:i w:val="false"/>
          <w:color w:val="000000"/>
          <w:sz w:val="28"/>
        </w:rPr>
        <w:t>
      2) a positive opinion from the Biosafety Commission of the research center (if any) or a biosafety expert from a third party in the absence of a Biosafety Commission at the research site.</w:t>
      </w:r>
    </w:p>
    <w:bookmarkEnd w:id="22"/>
    <w:bookmarkStart w:name="z26" w:id="23"/>
    <w:p>
      <w:pPr>
        <w:spacing w:after="0"/>
        <w:ind w:left="0"/>
        <w:jc w:val="both"/>
      </w:pPr>
      <w:r>
        <w:rPr>
          <w:rFonts w:ascii="Times New Roman"/>
          <w:b w:val="false"/>
          <w:i w:val="false"/>
          <w:color w:val="000000"/>
          <w:sz w:val="28"/>
        </w:rPr>
        <w:t>
      5. The following requirements are imposed on the research center on the basis of which the biobank is created:</w:t>
      </w:r>
    </w:p>
    <w:bookmarkEnd w:id="23"/>
    <w:bookmarkStart w:name="z27" w:id="24"/>
    <w:p>
      <w:pPr>
        <w:spacing w:after="0"/>
        <w:ind w:left="0"/>
        <w:jc w:val="both"/>
      </w:pPr>
      <w:r>
        <w:rPr>
          <w:rFonts w:ascii="Times New Roman"/>
          <w:b w:val="false"/>
          <w:i w:val="false"/>
          <w:color w:val="000000"/>
          <w:sz w:val="28"/>
        </w:rPr>
        <w:t>
      1) availability of accreditation as a subject of scientific and (or) scientific and technical activities;</w:t>
      </w:r>
    </w:p>
    <w:bookmarkEnd w:id="24"/>
    <w:bookmarkStart w:name="z28" w:id="25"/>
    <w:p>
      <w:pPr>
        <w:spacing w:after="0"/>
        <w:ind w:left="0"/>
        <w:jc w:val="both"/>
      </w:pPr>
      <w:r>
        <w:rPr>
          <w:rFonts w:ascii="Times New Roman"/>
          <w:b w:val="false"/>
          <w:i w:val="false"/>
          <w:color w:val="000000"/>
          <w:sz w:val="28"/>
        </w:rPr>
        <w:t>
      3) availability of standardized operating procedures for conducting biological and clinical research (when using biological materials for biomedical purposes and / or clinical research) and for working with biobanks;</w:t>
      </w:r>
    </w:p>
    <w:bookmarkEnd w:id="25"/>
    <w:bookmarkStart w:name="z29" w:id="26"/>
    <w:p>
      <w:pPr>
        <w:spacing w:after="0"/>
        <w:ind w:left="0"/>
        <w:jc w:val="both"/>
      </w:pPr>
      <w:r>
        <w:rPr>
          <w:rFonts w:ascii="Times New Roman"/>
          <w:b w:val="false"/>
          <w:i w:val="false"/>
          <w:color w:val="000000"/>
          <w:sz w:val="28"/>
        </w:rPr>
        <w:t>
      4) availability of personnel with specialized education and training document in Good Clinical Practice, standards of good pharmaceutical practice approved in accordance with subclause 9) of article 10 of the Code (hereinafter referred to as the GCP standard) when using biological materials for medical purposes and (or) clinical research);</w:t>
      </w:r>
    </w:p>
    <w:bookmarkEnd w:id="26"/>
    <w:bookmarkStart w:name="z30" w:id="27"/>
    <w:p>
      <w:pPr>
        <w:spacing w:after="0"/>
        <w:ind w:left="0"/>
        <w:jc w:val="both"/>
      </w:pPr>
      <w:r>
        <w:rPr>
          <w:rFonts w:ascii="Times New Roman"/>
          <w:b w:val="false"/>
          <w:i w:val="false"/>
          <w:color w:val="000000"/>
          <w:sz w:val="28"/>
        </w:rPr>
        <w:t>
      6) availability of a positive opinion of the Central Commission, a positive opinion of the Biosafety Commission and (or) a biosafety expert;</w:t>
      </w:r>
    </w:p>
    <w:bookmarkEnd w:id="27"/>
    <w:bookmarkStart w:name="z31" w:id="28"/>
    <w:p>
      <w:pPr>
        <w:spacing w:after="0"/>
        <w:ind w:left="0"/>
        <w:jc w:val="both"/>
      </w:pPr>
      <w:r>
        <w:rPr>
          <w:rFonts w:ascii="Times New Roman"/>
          <w:b w:val="false"/>
          <w:i w:val="false"/>
          <w:color w:val="000000"/>
          <w:sz w:val="28"/>
        </w:rPr>
        <w:t>
      7) availability of a protocol for assessing biological risks of the procedures performed;</w:t>
      </w:r>
    </w:p>
    <w:bookmarkEnd w:id="28"/>
    <w:bookmarkStart w:name="z32" w:id="29"/>
    <w:p>
      <w:pPr>
        <w:spacing w:after="0"/>
        <w:ind w:left="0"/>
        <w:jc w:val="both"/>
      </w:pPr>
      <w:r>
        <w:rPr>
          <w:rFonts w:ascii="Times New Roman"/>
          <w:b w:val="false"/>
          <w:i w:val="false"/>
          <w:color w:val="000000"/>
          <w:sz w:val="28"/>
        </w:rPr>
        <w:t>
      8) Regulations on the Research Center Biosafety Commission;</w:t>
      </w:r>
    </w:p>
    <w:bookmarkEnd w:id="29"/>
    <w:bookmarkStart w:name="z33" w:id="30"/>
    <w:p>
      <w:pPr>
        <w:spacing w:after="0"/>
        <w:ind w:left="0"/>
        <w:jc w:val="both"/>
      </w:pPr>
      <w:r>
        <w:rPr>
          <w:rFonts w:ascii="Times New Roman"/>
          <w:b w:val="false"/>
          <w:i w:val="false"/>
          <w:color w:val="000000"/>
          <w:sz w:val="28"/>
        </w:rPr>
        <w:t>
      9) availability of a three-level system of physical protection (when storing biological materials belonging to 1-2 groups of pathogenicity);</w:t>
      </w:r>
    </w:p>
    <w:bookmarkEnd w:id="30"/>
    <w:bookmarkStart w:name="z34" w:id="31"/>
    <w:p>
      <w:pPr>
        <w:spacing w:after="0"/>
        <w:ind w:left="0"/>
        <w:jc w:val="both"/>
      </w:pPr>
      <w:r>
        <w:rPr>
          <w:rFonts w:ascii="Times New Roman"/>
          <w:b w:val="false"/>
          <w:i w:val="false"/>
          <w:color w:val="000000"/>
          <w:sz w:val="28"/>
        </w:rPr>
        <w:t>
      10) availability of a permit to work with I, II, III and (or) IV pathogenicity groups (in accordance with the pathogenicity group of stored biological materials).</w:t>
      </w:r>
    </w:p>
    <w:bookmarkEnd w:id="31"/>
    <w:bookmarkStart w:name="z35" w:id="32"/>
    <w:p>
      <w:pPr>
        <w:spacing w:after="0"/>
        <w:ind w:left="0"/>
        <w:jc w:val="both"/>
      </w:pPr>
      <w:r>
        <w:rPr>
          <w:rFonts w:ascii="Times New Roman"/>
          <w:b w:val="false"/>
          <w:i w:val="false"/>
          <w:color w:val="000000"/>
          <w:sz w:val="28"/>
        </w:rPr>
        <w:t>
      6. To receive an opinion of the Central Commission, the research center submits an application for creation of a biobank to the Central Commission and attaches the following documents:</w:t>
      </w:r>
    </w:p>
    <w:bookmarkEnd w:id="32"/>
    <w:bookmarkStart w:name="z36" w:id="33"/>
    <w:p>
      <w:pPr>
        <w:spacing w:after="0"/>
        <w:ind w:left="0"/>
        <w:jc w:val="both"/>
      </w:pPr>
      <w:r>
        <w:rPr>
          <w:rFonts w:ascii="Times New Roman"/>
          <w:b w:val="false"/>
          <w:i w:val="false"/>
          <w:color w:val="000000"/>
          <w:sz w:val="28"/>
        </w:rPr>
        <w:t>
      1) application indicating the name of a biobank;</w:t>
      </w:r>
    </w:p>
    <w:bookmarkEnd w:id="33"/>
    <w:bookmarkStart w:name="z37" w:id="34"/>
    <w:p>
      <w:pPr>
        <w:spacing w:after="0"/>
        <w:ind w:left="0"/>
        <w:jc w:val="both"/>
      </w:pPr>
      <w:r>
        <w:rPr>
          <w:rFonts w:ascii="Times New Roman"/>
          <w:b w:val="false"/>
          <w:i w:val="false"/>
          <w:color w:val="000000"/>
          <w:sz w:val="28"/>
        </w:rPr>
        <w:t>
      2) legal and financial details of the biobank owner;</w:t>
      </w:r>
    </w:p>
    <w:bookmarkEnd w:id="34"/>
    <w:bookmarkStart w:name="z38" w:id="35"/>
    <w:p>
      <w:pPr>
        <w:spacing w:after="0"/>
        <w:ind w:left="0"/>
        <w:jc w:val="both"/>
      </w:pPr>
      <w:r>
        <w:rPr>
          <w:rFonts w:ascii="Times New Roman"/>
          <w:b w:val="false"/>
          <w:i w:val="false"/>
          <w:color w:val="000000"/>
          <w:sz w:val="28"/>
        </w:rPr>
        <w:t>
      3) information on the location and methods of storing and coding biological samples, as well as the data associated with these samples, and the conditions for managing this data;</w:t>
      </w:r>
    </w:p>
    <w:bookmarkEnd w:id="35"/>
    <w:bookmarkStart w:name="z39" w:id="36"/>
    <w:p>
      <w:pPr>
        <w:spacing w:after="0"/>
        <w:ind w:left="0"/>
        <w:jc w:val="both"/>
      </w:pPr>
      <w:r>
        <w:rPr>
          <w:rFonts w:ascii="Times New Roman"/>
          <w:b w:val="false"/>
          <w:i w:val="false"/>
          <w:color w:val="000000"/>
          <w:sz w:val="28"/>
        </w:rPr>
        <w:t>
      4) a description of the field (s) of biobank activity, principles and conditions that apply to the collection and storage of biological samples and data; providing access to them for research and other uses of biological samples, information and restrictions regarding the use of biological samples;</w:t>
      </w:r>
    </w:p>
    <w:bookmarkEnd w:id="36"/>
    <w:bookmarkStart w:name="z40" w:id="37"/>
    <w:p>
      <w:pPr>
        <w:spacing w:after="0"/>
        <w:ind w:left="0"/>
        <w:jc w:val="both"/>
      </w:pPr>
      <w:r>
        <w:rPr>
          <w:rFonts w:ascii="Times New Roman"/>
          <w:b w:val="false"/>
          <w:i w:val="false"/>
          <w:color w:val="000000"/>
          <w:sz w:val="28"/>
        </w:rPr>
        <w:t>
      5) approved form of the informed consent;</w:t>
      </w:r>
    </w:p>
    <w:bookmarkEnd w:id="37"/>
    <w:bookmarkStart w:name="z41" w:id="38"/>
    <w:p>
      <w:pPr>
        <w:spacing w:after="0"/>
        <w:ind w:left="0"/>
        <w:jc w:val="both"/>
      </w:pPr>
      <w:r>
        <w:rPr>
          <w:rFonts w:ascii="Times New Roman"/>
          <w:b w:val="false"/>
          <w:i w:val="false"/>
          <w:color w:val="000000"/>
          <w:sz w:val="28"/>
        </w:rPr>
        <w:t>
      6) information about procedures of record-keeping, destruction of biological samples and personal data;</w:t>
      </w:r>
    </w:p>
    <w:bookmarkEnd w:id="38"/>
    <w:bookmarkStart w:name="z42" w:id="39"/>
    <w:p>
      <w:pPr>
        <w:spacing w:after="0"/>
        <w:ind w:left="0"/>
        <w:jc w:val="both"/>
      </w:pPr>
      <w:r>
        <w:rPr>
          <w:rFonts w:ascii="Times New Roman"/>
          <w:b w:val="false"/>
          <w:i w:val="false"/>
          <w:color w:val="000000"/>
          <w:sz w:val="28"/>
        </w:rPr>
        <w:t>
      7) information about available trained personnel, responsible for collection and storage of biological samples and data, provision of access to them, conducting the research.</w:t>
      </w:r>
    </w:p>
    <w:bookmarkEnd w:id="39"/>
    <w:bookmarkStart w:name="z43" w:id="40"/>
    <w:p>
      <w:pPr>
        <w:spacing w:after="0"/>
        <w:ind w:left="0"/>
        <w:jc w:val="both"/>
      </w:pPr>
      <w:r>
        <w:rPr>
          <w:rFonts w:ascii="Times New Roman"/>
          <w:b w:val="false"/>
          <w:i w:val="false"/>
          <w:color w:val="000000"/>
          <w:sz w:val="28"/>
        </w:rPr>
        <w:t>
      7. The term for consideration by the Central Commission of an application for creating a biobank does not exceed thirty calendar days after receiving the request.</w:t>
      </w:r>
    </w:p>
    <w:bookmarkEnd w:id="40"/>
    <w:bookmarkStart w:name="z44" w:id="41"/>
    <w:p>
      <w:pPr>
        <w:spacing w:after="0"/>
        <w:ind w:left="0"/>
        <w:jc w:val="both"/>
      </w:pPr>
      <w:r>
        <w:rPr>
          <w:rFonts w:ascii="Times New Roman"/>
          <w:b w:val="false"/>
          <w:i w:val="false"/>
          <w:color w:val="000000"/>
          <w:sz w:val="28"/>
        </w:rPr>
        <w:t>
      8. If necessary, the Central Commission requests clarifications from the research center on specific provisions in the submitted list of documents. The time required for the submission by the research center of the data is not included in the processing time of the application by the Central Commission and does not exceed sixty calendar days.</w:t>
      </w:r>
    </w:p>
    <w:bookmarkEnd w:id="41"/>
    <w:bookmarkStart w:name="z45" w:id="42"/>
    <w:p>
      <w:pPr>
        <w:spacing w:after="0"/>
        <w:ind w:left="0"/>
        <w:jc w:val="both"/>
      </w:pPr>
      <w:r>
        <w:rPr>
          <w:rFonts w:ascii="Times New Roman"/>
          <w:b w:val="false"/>
          <w:i w:val="false"/>
          <w:color w:val="000000"/>
          <w:sz w:val="28"/>
        </w:rPr>
        <w:t>
      9. The Central Commission shall make one of the following decisions:</w:t>
      </w:r>
    </w:p>
    <w:bookmarkEnd w:id="42"/>
    <w:bookmarkStart w:name="z46" w:id="43"/>
    <w:p>
      <w:pPr>
        <w:spacing w:after="0"/>
        <w:ind w:left="0"/>
        <w:jc w:val="both"/>
      </w:pPr>
      <w:r>
        <w:rPr>
          <w:rFonts w:ascii="Times New Roman"/>
          <w:b w:val="false"/>
          <w:i w:val="false"/>
          <w:color w:val="000000"/>
          <w:sz w:val="28"/>
        </w:rPr>
        <w:t>
      1) on approval of creation of a biobank;</w:t>
      </w:r>
    </w:p>
    <w:bookmarkEnd w:id="43"/>
    <w:bookmarkStart w:name="z47" w:id="44"/>
    <w:p>
      <w:pPr>
        <w:spacing w:after="0"/>
        <w:ind w:left="0"/>
        <w:jc w:val="both"/>
      </w:pPr>
      <w:r>
        <w:rPr>
          <w:rFonts w:ascii="Times New Roman"/>
          <w:b w:val="false"/>
          <w:i w:val="false"/>
          <w:color w:val="000000"/>
          <w:sz w:val="28"/>
        </w:rPr>
        <w:t>
      2) on the need to finalize the application documents for the creation of a biobank;</w:t>
      </w:r>
    </w:p>
    <w:bookmarkEnd w:id="44"/>
    <w:bookmarkStart w:name="z48" w:id="45"/>
    <w:p>
      <w:pPr>
        <w:spacing w:after="0"/>
        <w:ind w:left="0"/>
        <w:jc w:val="both"/>
      </w:pPr>
      <w:r>
        <w:rPr>
          <w:rFonts w:ascii="Times New Roman"/>
          <w:b w:val="false"/>
          <w:i w:val="false"/>
          <w:color w:val="000000"/>
          <w:sz w:val="28"/>
        </w:rPr>
        <w:t>
      3) on refusal to issue an approval for creation of a biobank.</w:t>
      </w:r>
    </w:p>
    <w:bookmarkEnd w:id="45"/>
    <w:bookmarkStart w:name="z49" w:id="46"/>
    <w:p>
      <w:pPr>
        <w:spacing w:after="0"/>
        <w:ind w:left="0"/>
        <w:jc w:val="both"/>
      </w:pPr>
      <w:r>
        <w:rPr>
          <w:rFonts w:ascii="Times New Roman"/>
          <w:b w:val="false"/>
          <w:i w:val="false"/>
          <w:color w:val="000000"/>
          <w:sz w:val="28"/>
        </w:rPr>
        <w:t>
      10. Based on the positive opinion of the Central Commission, the head of the research center issues an act on the creation of a biobank.</w:t>
      </w:r>
    </w:p>
    <w:bookmarkEnd w:id="46"/>
    <w:bookmarkStart w:name="z50" w:id="47"/>
    <w:p>
      <w:pPr>
        <w:spacing w:after="0"/>
        <w:ind w:left="0"/>
        <w:jc w:val="left"/>
      </w:pPr>
      <w:r>
        <w:rPr>
          <w:rFonts w:ascii="Times New Roman"/>
          <w:b/>
          <w:i w:val="false"/>
          <w:color w:val="000000"/>
        </w:rPr>
        <w:t xml:space="preserve"> Chapter 3. Procedure for activities of biobanks</w:t>
      </w:r>
    </w:p>
    <w:bookmarkEnd w:id="47"/>
    <w:bookmarkStart w:name="z51" w:id="48"/>
    <w:p>
      <w:pPr>
        <w:spacing w:after="0"/>
        <w:ind w:left="0"/>
        <w:jc w:val="both"/>
      </w:pPr>
      <w:r>
        <w:rPr>
          <w:rFonts w:ascii="Times New Roman"/>
          <w:b w:val="false"/>
          <w:i w:val="false"/>
          <w:color w:val="000000"/>
          <w:sz w:val="28"/>
        </w:rPr>
        <w:t xml:space="preserve">
      11. The activities of a biobank shall include: </w:t>
      </w:r>
    </w:p>
    <w:bookmarkEnd w:id="48"/>
    <w:bookmarkStart w:name="z52" w:id="49"/>
    <w:p>
      <w:pPr>
        <w:spacing w:after="0"/>
        <w:ind w:left="0"/>
        <w:jc w:val="both"/>
      </w:pPr>
      <w:r>
        <w:rPr>
          <w:rFonts w:ascii="Times New Roman"/>
          <w:b w:val="false"/>
          <w:i w:val="false"/>
          <w:color w:val="000000"/>
          <w:sz w:val="28"/>
        </w:rPr>
        <w:t>
      1) collection, including visual quality control, storage of samples of biological materials, including samples of cells, tissues, deoxyribonucleic, ribonucleic acids of human genetic material and (or) animals and (or) plants, and other biological and genetically modified substances and organisms;</w:t>
      </w:r>
    </w:p>
    <w:bookmarkEnd w:id="49"/>
    <w:bookmarkStart w:name="z53" w:id="50"/>
    <w:p>
      <w:pPr>
        <w:spacing w:after="0"/>
        <w:ind w:left="0"/>
        <w:jc w:val="both"/>
      </w:pPr>
      <w:r>
        <w:rPr>
          <w:rFonts w:ascii="Times New Roman"/>
          <w:b w:val="false"/>
          <w:i w:val="false"/>
          <w:color w:val="000000"/>
          <w:sz w:val="28"/>
        </w:rPr>
        <w:t>
      2) issuance of biological materials to research workers according to eligibility criteria developed by them;</w:t>
      </w:r>
    </w:p>
    <w:bookmarkEnd w:id="50"/>
    <w:bookmarkStart w:name="z54" w:id="51"/>
    <w:p>
      <w:pPr>
        <w:spacing w:after="0"/>
        <w:ind w:left="0"/>
        <w:jc w:val="both"/>
      </w:pPr>
      <w:r>
        <w:rPr>
          <w:rFonts w:ascii="Times New Roman"/>
          <w:b w:val="false"/>
          <w:i w:val="false"/>
          <w:color w:val="000000"/>
          <w:sz w:val="28"/>
        </w:rPr>
        <w:t>
      3) record-keeping of the stored samples of biological materials and associated with them medical, demographic and laboratory information, keeping an electronic database;</w:t>
      </w:r>
    </w:p>
    <w:bookmarkEnd w:id="51"/>
    <w:bookmarkStart w:name="z55" w:id="52"/>
    <w:p>
      <w:pPr>
        <w:spacing w:after="0"/>
        <w:ind w:left="0"/>
        <w:jc w:val="both"/>
      </w:pPr>
      <w:r>
        <w:rPr>
          <w:rFonts w:ascii="Times New Roman"/>
          <w:b w:val="false"/>
          <w:i w:val="false"/>
          <w:color w:val="000000"/>
          <w:sz w:val="28"/>
        </w:rPr>
        <w:t>
      4) storage of assembled collections of samples of biological materials in compliance with temperature regimes, with the presence of backup energy sources, guaranteeing the complete safety of the accumulated biomaterial;</w:t>
      </w:r>
    </w:p>
    <w:bookmarkEnd w:id="52"/>
    <w:bookmarkStart w:name="z56" w:id="53"/>
    <w:p>
      <w:pPr>
        <w:spacing w:after="0"/>
        <w:ind w:left="0"/>
        <w:jc w:val="both"/>
      </w:pPr>
      <w:r>
        <w:rPr>
          <w:rFonts w:ascii="Times New Roman"/>
          <w:b w:val="false"/>
          <w:i w:val="false"/>
          <w:color w:val="000000"/>
          <w:sz w:val="28"/>
        </w:rPr>
        <w:t xml:space="preserve">
      5) provision of services for the collection, processing, storage and analysis of biological materials for researchers and research teams of the research center; </w:t>
      </w:r>
    </w:p>
    <w:bookmarkEnd w:id="53"/>
    <w:bookmarkStart w:name="z57" w:id="54"/>
    <w:p>
      <w:pPr>
        <w:spacing w:after="0"/>
        <w:ind w:left="0"/>
        <w:jc w:val="both"/>
      </w:pPr>
      <w:r>
        <w:rPr>
          <w:rFonts w:ascii="Times New Roman"/>
          <w:b w:val="false"/>
          <w:i w:val="false"/>
          <w:color w:val="000000"/>
          <w:sz w:val="28"/>
        </w:rPr>
        <w:t>
      6) interaction with other Kazakhstani and foreign biobanks;</w:t>
      </w:r>
    </w:p>
    <w:bookmarkEnd w:id="54"/>
    <w:bookmarkStart w:name="z58" w:id="55"/>
    <w:p>
      <w:pPr>
        <w:spacing w:after="0"/>
        <w:ind w:left="0"/>
        <w:jc w:val="both"/>
      </w:pPr>
      <w:r>
        <w:rPr>
          <w:rFonts w:ascii="Times New Roman"/>
          <w:b w:val="false"/>
          <w:i w:val="false"/>
          <w:color w:val="000000"/>
          <w:sz w:val="28"/>
        </w:rPr>
        <w:t>
      7) exchange of samples of biological materials between biobanks and medical organizations.</w:t>
      </w:r>
    </w:p>
    <w:bookmarkEnd w:id="55"/>
    <w:bookmarkStart w:name="z59" w:id="56"/>
    <w:p>
      <w:pPr>
        <w:spacing w:after="0"/>
        <w:ind w:left="0"/>
        <w:jc w:val="both"/>
      </w:pPr>
      <w:r>
        <w:rPr>
          <w:rFonts w:ascii="Times New Roman"/>
          <w:b w:val="false"/>
          <w:i w:val="false"/>
          <w:color w:val="000000"/>
          <w:sz w:val="28"/>
        </w:rPr>
        <w:t xml:space="preserve">
      12. A biobank shall be governed in its activity by the current legislation of the Republic of Kazakhstan in the field of healthcare and science, personal data and their protection, international and national bioethic standards and good practices of conducting biomedical research, these Rules, internal regulatory documents of the research center, orders and instructions of the first head of the research center. </w:t>
      </w:r>
    </w:p>
    <w:bookmarkEnd w:id="56"/>
    <w:bookmarkStart w:name="z60" w:id="57"/>
    <w:p>
      <w:pPr>
        <w:spacing w:after="0"/>
        <w:ind w:left="0"/>
        <w:jc w:val="both"/>
      </w:pPr>
      <w:r>
        <w:rPr>
          <w:rFonts w:ascii="Times New Roman"/>
          <w:b w:val="false"/>
          <w:i w:val="false"/>
          <w:color w:val="000000"/>
          <w:sz w:val="28"/>
        </w:rPr>
        <w:t>
      13. The general management of the biobank's activities is carried out by the deputy first head for scientific work (in the organization of higher and (or) postgraduate education and in the scientific organization), the deputy first head for the medical part (in the health organization).</w:t>
      </w:r>
    </w:p>
    <w:bookmarkEnd w:id="57"/>
    <w:bookmarkStart w:name="z61" w:id="58"/>
    <w:p>
      <w:pPr>
        <w:spacing w:after="0"/>
        <w:ind w:left="0"/>
        <w:jc w:val="both"/>
      </w:pPr>
      <w:r>
        <w:rPr>
          <w:rFonts w:ascii="Times New Roman"/>
          <w:b w:val="false"/>
          <w:i w:val="false"/>
          <w:color w:val="000000"/>
          <w:sz w:val="28"/>
        </w:rPr>
        <w:t>
      The direct management of the biobank is carried out by the head of the biobank, appointed by the order of the first head of the research center.</w:t>
      </w:r>
    </w:p>
    <w:bookmarkEnd w:id="58"/>
    <w:bookmarkStart w:name="z62" w:id="59"/>
    <w:p>
      <w:pPr>
        <w:spacing w:after="0"/>
        <w:ind w:left="0"/>
        <w:jc w:val="both"/>
      </w:pPr>
      <w:r>
        <w:rPr>
          <w:rFonts w:ascii="Times New Roman"/>
          <w:b w:val="false"/>
          <w:i w:val="false"/>
          <w:color w:val="000000"/>
          <w:sz w:val="28"/>
        </w:rPr>
        <w:t>
      14. The structure and staffing of the biobank is approved by the first head of the research center.</w:t>
      </w:r>
    </w:p>
    <w:bookmarkEnd w:id="59"/>
    <w:bookmarkStart w:name="z63" w:id="60"/>
    <w:p>
      <w:pPr>
        <w:spacing w:after="0"/>
        <w:ind w:left="0"/>
        <w:jc w:val="both"/>
      </w:pPr>
      <w:r>
        <w:rPr>
          <w:rFonts w:ascii="Times New Roman"/>
          <w:b w:val="false"/>
          <w:i w:val="false"/>
          <w:color w:val="000000"/>
          <w:sz w:val="28"/>
        </w:rPr>
        <w:t>
      15. Collection, record-keeping, storage, use and destruction of biological materials and personal data in the biobank is carried out in accordance with standardized operating procedures.</w:t>
      </w:r>
    </w:p>
    <w:bookmarkEnd w:id="60"/>
    <w:bookmarkStart w:name="z64" w:id="61"/>
    <w:p>
      <w:pPr>
        <w:spacing w:after="0"/>
        <w:ind w:left="0"/>
        <w:jc w:val="both"/>
      </w:pPr>
      <w:r>
        <w:rPr>
          <w:rFonts w:ascii="Times New Roman"/>
          <w:b w:val="false"/>
          <w:i w:val="false"/>
          <w:color w:val="000000"/>
          <w:sz w:val="28"/>
        </w:rPr>
        <w:t>
      16. When collecting biological materials, the biobank ensures obtaining the informed consent from the donor of biological materials or his/her legal representative. The transfer of biological materials and personal data by the biobank for their further use in research is carried out on the basis of the informed consent of the donor of biological materials or his/her legal representative, provided that the research is approved by the Local Commission on Bioethics (hereinafter referred to as the Local Commission).</w:t>
      </w:r>
    </w:p>
    <w:bookmarkEnd w:id="61"/>
    <w:bookmarkStart w:name="z65" w:id="62"/>
    <w:p>
      <w:pPr>
        <w:spacing w:after="0"/>
        <w:ind w:left="0"/>
        <w:jc w:val="both"/>
      </w:pPr>
      <w:r>
        <w:rPr>
          <w:rFonts w:ascii="Times New Roman"/>
          <w:b w:val="false"/>
          <w:i w:val="false"/>
          <w:color w:val="000000"/>
          <w:sz w:val="28"/>
        </w:rPr>
        <w:t xml:space="preserve">
      17. Obtaining and documenting the informed consent of the donor of biological materials or his legal representative is provided in accordance with the GCP Standard and bioethical principles. </w:t>
      </w:r>
    </w:p>
    <w:bookmarkEnd w:id="62"/>
    <w:bookmarkStart w:name="z66" w:id="63"/>
    <w:p>
      <w:pPr>
        <w:spacing w:after="0"/>
        <w:ind w:left="0"/>
        <w:jc w:val="both"/>
      </w:pPr>
      <w:r>
        <w:rPr>
          <w:rFonts w:ascii="Times New Roman"/>
          <w:b w:val="false"/>
          <w:i w:val="false"/>
          <w:color w:val="000000"/>
          <w:sz w:val="28"/>
        </w:rPr>
        <w:t>
      18. The written informed consent of the donor of biological materials or his/her legal representative is obtained prior to collection of biological material for research purposes for storage in a biobank, use in research, indicating specific tasks.</w:t>
      </w:r>
    </w:p>
    <w:bookmarkEnd w:id="63"/>
    <w:bookmarkStart w:name="z67" w:id="64"/>
    <w:p>
      <w:pPr>
        <w:spacing w:after="0"/>
        <w:ind w:left="0"/>
        <w:jc w:val="both"/>
      </w:pPr>
      <w:r>
        <w:rPr>
          <w:rFonts w:ascii="Times New Roman"/>
          <w:b w:val="false"/>
          <w:i w:val="false"/>
          <w:color w:val="000000"/>
          <w:sz w:val="28"/>
        </w:rPr>
        <w:t>
      19. Researchers and biobank managers ensure that the privacy and confidentiality of donors of biological materials and their personal information is protected, including information received from donors about others.</w:t>
      </w:r>
    </w:p>
    <w:bookmarkEnd w:id="64"/>
    <w:bookmarkStart w:name="z68" w:id="65"/>
    <w:p>
      <w:pPr>
        <w:spacing w:after="0"/>
        <w:ind w:left="0"/>
        <w:jc w:val="both"/>
      </w:pPr>
      <w:r>
        <w:rPr>
          <w:rFonts w:ascii="Times New Roman"/>
          <w:b w:val="false"/>
          <w:i w:val="false"/>
          <w:color w:val="000000"/>
          <w:sz w:val="28"/>
        </w:rPr>
        <w:t>
      20. When using biological materials, researchers and biobank managers take into account the religious and cultural views and traditions of people or groups of people in communities with respect to the human cell.</w:t>
      </w:r>
    </w:p>
    <w:bookmarkEnd w:id="65"/>
    <w:bookmarkStart w:name="z69" w:id="66"/>
    <w:p>
      <w:pPr>
        <w:spacing w:after="0"/>
        <w:ind w:left="0"/>
        <w:jc w:val="both"/>
      </w:pPr>
      <w:r>
        <w:rPr>
          <w:rFonts w:ascii="Times New Roman"/>
          <w:b w:val="false"/>
          <w:i w:val="false"/>
          <w:color w:val="000000"/>
          <w:sz w:val="28"/>
        </w:rPr>
        <w:t>
      21. The donor who signed the informed consent at any time prohibits the use of his data and (or) biological material stored in the biobank in particular studies.</w:t>
      </w:r>
    </w:p>
    <w:bookmarkEnd w:id="66"/>
    <w:bookmarkStart w:name="z70" w:id="67"/>
    <w:p>
      <w:pPr>
        <w:spacing w:after="0"/>
        <w:ind w:left="0"/>
        <w:jc w:val="both"/>
      </w:pPr>
      <w:r>
        <w:rPr>
          <w:rFonts w:ascii="Times New Roman"/>
          <w:b w:val="false"/>
          <w:i w:val="false"/>
          <w:color w:val="000000"/>
          <w:sz w:val="28"/>
        </w:rPr>
        <w:t>
      22. The local commission reviews and approves all agreements on the provision of access to data and / or biological samples stored in the biobank to ensure the best ethical use of biological samples and data from donors in accordance with their consent.</w:t>
      </w:r>
    </w:p>
    <w:bookmarkEnd w:id="67"/>
    <w:bookmarkStart w:name="z71" w:id="68"/>
    <w:p>
      <w:pPr>
        <w:spacing w:after="0"/>
        <w:ind w:left="0"/>
        <w:jc w:val="both"/>
      </w:pPr>
      <w:r>
        <w:rPr>
          <w:rFonts w:ascii="Times New Roman"/>
          <w:b w:val="false"/>
          <w:i w:val="false"/>
          <w:color w:val="000000"/>
          <w:sz w:val="28"/>
        </w:rPr>
        <w:t xml:space="preserve">
      23. The activity of the biobank is subject to internal and external monitoring. </w:t>
      </w:r>
    </w:p>
    <w:bookmarkEnd w:id="68"/>
    <w:bookmarkStart w:name="z72" w:id="69"/>
    <w:p>
      <w:pPr>
        <w:spacing w:after="0"/>
        <w:ind w:left="0"/>
        <w:jc w:val="both"/>
      </w:pPr>
      <w:r>
        <w:rPr>
          <w:rFonts w:ascii="Times New Roman"/>
          <w:b w:val="false"/>
          <w:i w:val="false"/>
          <w:color w:val="000000"/>
          <w:sz w:val="28"/>
        </w:rPr>
        <w:t>
      The Research Center, which is creating the biobank, provides an internal monitoring procedure. Internal monitoring is carried out annually in accordance with the procedure established in the quality management system manual. External monitoring is carried out by the Central Commission once every 5 years.</w:t>
      </w:r>
    </w:p>
    <w:bookmarkEnd w:id="69"/>
    <w:bookmarkStart w:name="z73" w:id="70"/>
    <w:p>
      <w:pPr>
        <w:spacing w:after="0"/>
        <w:ind w:left="0"/>
        <w:jc w:val="both"/>
      </w:pPr>
      <w:r>
        <w:rPr>
          <w:rFonts w:ascii="Times New Roman"/>
          <w:b w:val="false"/>
          <w:i w:val="false"/>
          <w:color w:val="000000"/>
          <w:sz w:val="28"/>
        </w:rPr>
        <w:t>
      The procedures for the collection, storage and use of biological samples, collection, registration, storage, protection and transmission of personal data are subject to monitoring..</w:t>
      </w:r>
    </w:p>
    <w:bookmarkEnd w:id="70"/>
    <w:bookmarkStart w:name="z74" w:id="71"/>
    <w:p>
      <w:pPr>
        <w:spacing w:after="0"/>
        <w:ind w:left="0"/>
        <w:jc w:val="both"/>
      </w:pPr>
      <w:r>
        <w:rPr>
          <w:rFonts w:ascii="Times New Roman"/>
          <w:b w:val="false"/>
          <w:i w:val="false"/>
          <w:color w:val="000000"/>
          <w:sz w:val="28"/>
        </w:rPr>
        <w:t>
      24. When making a decision to close the biobank or destroy biological samples, personal data stored in the biobank, the research center shall:</w:t>
      </w:r>
    </w:p>
    <w:bookmarkEnd w:id="71"/>
    <w:bookmarkStart w:name="z75" w:id="72"/>
    <w:p>
      <w:pPr>
        <w:spacing w:after="0"/>
        <w:ind w:left="0"/>
        <w:jc w:val="both"/>
      </w:pPr>
      <w:r>
        <w:rPr>
          <w:rFonts w:ascii="Times New Roman"/>
          <w:b w:val="false"/>
          <w:i w:val="false"/>
          <w:color w:val="000000"/>
          <w:sz w:val="28"/>
        </w:rPr>
        <w:t>
      1) notify the Central Commission;</w:t>
      </w:r>
    </w:p>
    <w:bookmarkEnd w:id="72"/>
    <w:bookmarkStart w:name="z76" w:id="73"/>
    <w:p>
      <w:pPr>
        <w:spacing w:after="0"/>
        <w:ind w:left="0"/>
        <w:jc w:val="both"/>
      </w:pPr>
      <w:r>
        <w:rPr>
          <w:rFonts w:ascii="Times New Roman"/>
          <w:b w:val="false"/>
          <w:i w:val="false"/>
          <w:color w:val="000000"/>
          <w:sz w:val="28"/>
        </w:rPr>
        <w:t>
      2) ensures the destruction of personal data, as well as biological samples in accordance with the procedure for the collection, storage, transportation and disposal of medical waste in accordance with subclause 37) of article 9 of the Code;</w:t>
      </w:r>
    </w:p>
    <w:bookmarkEnd w:id="73"/>
    <w:bookmarkStart w:name="z77" w:id="74"/>
    <w:p>
      <w:pPr>
        <w:spacing w:after="0"/>
        <w:ind w:left="0"/>
        <w:jc w:val="both"/>
      </w:pPr>
      <w:r>
        <w:rPr>
          <w:rFonts w:ascii="Times New Roman"/>
          <w:b w:val="false"/>
          <w:i w:val="false"/>
          <w:color w:val="000000"/>
          <w:sz w:val="28"/>
        </w:rPr>
        <w:t>
      3) ensures the transfer of biological samples, personal data on tangible media to another biobank operating on the basis of a research center - a resident of the Republic of Kazakhstan.</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