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dcfb" w14:textId="059d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and conduct of public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February 26, 2021 No. 73. Registered with the Ministry of Justice of the Republic of Kazakhstan on February 26, 2021 No. 22263.</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5) of paragraph 2 of Article 2-1 of the Law of the Republic of Kazakhstan dated November 2, 2015 “On Public Councils”,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organization and conduct of public control.</w:t>
      </w:r>
    </w:p>
    <w:bookmarkEnd w:id="1"/>
    <w:bookmarkStart w:name="z3" w:id="2"/>
    <w:p>
      <w:pPr>
        <w:spacing w:after="0"/>
        <w:ind w:left="0"/>
        <w:jc w:val="both"/>
      </w:pPr>
      <w:r>
        <w:rPr>
          <w:rFonts w:ascii="Times New Roman"/>
          <w:b w:val="false"/>
          <w:i w:val="false"/>
          <w:color w:val="000000"/>
          <w:sz w:val="28"/>
        </w:rPr>
        <w:t>
      2. The Committee for civil society affairs of the Ministry of Information and Social Development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Information and Social Development of the Republic of Kazakhstan after its official publication;</w:t>
      </w:r>
    </w:p>
    <w:bookmarkEnd w:id="4"/>
    <w:bookmarkStart w:name="z6" w:id="5"/>
    <w:p>
      <w:pPr>
        <w:spacing w:after="0"/>
        <w:ind w:left="0"/>
        <w:jc w:val="both"/>
      </w:pPr>
      <w:r>
        <w:rPr>
          <w:rFonts w:ascii="Times New Roman"/>
          <w:b w:val="false"/>
          <w:i w:val="false"/>
          <w:color w:val="000000"/>
          <w:sz w:val="28"/>
        </w:rPr>
        <w:t>
      3) submission of information on the implementation of measures provided for in subparagraphs 1) and 2) of this paragraph to the Legal department of the Ministry of Information and Social Development of the Republic of Kazakhstan within ten working days after the state registration of this order.</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Vice-Minister of Information and Public Development of the Republic of Kazakhstan.</w:t>
      </w:r>
    </w:p>
    <w:bookmarkEnd w:id="6"/>
    <w:bookmarkStart w:name="z8" w:id="7"/>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Information </w:t>
            </w:r>
          </w:p>
          <w:p>
            <w:pPr>
              <w:spacing w:after="20"/>
              <w:ind w:left="20"/>
              <w:jc w:val="both"/>
            </w:pPr>
          </w:p>
          <w:p>
            <w:pPr>
              <w:spacing w:after="20"/>
              <w:ind w:left="20"/>
              <w:jc w:val="both"/>
            </w:pPr>
            <w:r>
              <w:rPr>
                <w:rFonts w:ascii="Times New Roman"/>
                <w:b w:val="false"/>
                <w:i/>
                <w:color w:val="000000"/>
                <w:sz w:val="20"/>
              </w:rPr>
              <w:t>and Social Development</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Balayeva</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Agency for protection </w:t>
      </w:r>
    </w:p>
    <w:p>
      <w:pPr>
        <w:spacing w:after="0"/>
        <w:ind w:left="0"/>
        <w:jc w:val="both"/>
      </w:pPr>
      <w:r>
        <w:rPr>
          <w:rFonts w:ascii="Times New Roman"/>
          <w:b w:val="false"/>
          <w:i w:val="false"/>
          <w:color w:val="000000"/>
          <w:sz w:val="28"/>
        </w:rPr>
        <w:t>and development of competition</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4"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Labour and</w:t>
      </w:r>
    </w:p>
    <w:p>
      <w:pPr>
        <w:spacing w:after="0"/>
        <w:ind w:left="0"/>
        <w:jc w:val="both"/>
      </w:pPr>
      <w:r>
        <w:rPr>
          <w:rFonts w:ascii="Times New Roman"/>
          <w:b w:val="false"/>
          <w:i w:val="false"/>
          <w:color w:val="000000"/>
          <w:sz w:val="28"/>
        </w:rPr>
        <w:t>Social Protection of the Population</w:t>
      </w:r>
    </w:p>
    <w:p>
      <w:pPr>
        <w:spacing w:after="0"/>
        <w:ind w:left="0"/>
        <w:jc w:val="both"/>
      </w:pPr>
      <w:r>
        <w:rPr>
          <w:rFonts w:ascii="Times New Roman"/>
          <w:b w:val="false"/>
          <w:i w:val="false"/>
          <w:color w:val="000000"/>
          <w:sz w:val="28"/>
        </w:rPr>
        <w:t>of the Republic of Kazakhstan</w:t>
      </w:r>
    </w:p>
    <w:p>
      <w:pPr>
        <w:spacing w:after="0"/>
        <w:ind w:left="0"/>
        <w:jc w:val="both"/>
      </w:pPr>
      <w:bookmarkStart w:name="z15"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6" w:id="14"/>
      <w:r>
        <w:rPr>
          <w:rFonts w:ascii="Times New Roman"/>
          <w:b w:val="false"/>
          <w:i w:val="false"/>
          <w:color w:val="000000"/>
          <w:sz w:val="28"/>
        </w:rPr>
        <w:t>
      "AGREED"</w:t>
      </w:r>
    </w:p>
    <w:bookmarkEnd w:id="14"/>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15"/>
      <w:r>
        <w:rPr>
          <w:rFonts w:ascii="Times New Roman"/>
          <w:b w:val="false"/>
          <w:i w:val="false"/>
          <w:color w:val="000000"/>
          <w:sz w:val="28"/>
        </w:rPr>
        <w:t>
      "AGREED"</w:t>
      </w:r>
    </w:p>
    <w:bookmarkEnd w:id="15"/>
    <w:p>
      <w:pPr>
        <w:spacing w:after="0"/>
        <w:ind w:left="0"/>
        <w:jc w:val="both"/>
      </w:pPr>
      <w:r>
        <w:rPr>
          <w:rFonts w:ascii="Times New Roman"/>
          <w:b w:val="false"/>
          <w:i w:val="false"/>
          <w:color w:val="000000"/>
          <w:sz w:val="28"/>
        </w:rPr>
        <w:t>Ministry of Culture and Sports</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6"/>
      <w:r>
        <w:rPr>
          <w:rFonts w:ascii="Times New Roman"/>
          <w:b w:val="false"/>
          <w:i w:val="false"/>
          <w:color w:val="000000"/>
          <w:sz w:val="28"/>
        </w:rPr>
        <w:t>
      "AGREED"</w:t>
      </w:r>
    </w:p>
    <w:bookmarkEnd w:id="16"/>
    <w:p>
      <w:pPr>
        <w:spacing w:after="0"/>
        <w:ind w:left="0"/>
        <w:jc w:val="both"/>
      </w:pPr>
      <w:r>
        <w:rPr>
          <w:rFonts w:ascii="Times New Roman"/>
          <w:b w:val="false"/>
          <w:i w:val="false"/>
          <w:color w:val="000000"/>
          <w:sz w:val="28"/>
        </w:rPr>
        <w:t xml:space="preserve">Agency for public service affairs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9" w:id="17"/>
      <w:r>
        <w:rPr>
          <w:rFonts w:ascii="Times New Roman"/>
          <w:b w:val="false"/>
          <w:i w:val="false"/>
          <w:color w:val="000000"/>
          <w:sz w:val="28"/>
        </w:rPr>
        <w:t>
      "AGREED"</w:t>
      </w:r>
    </w:p>
    <w:bookmarkEnd w:id="17"/>
    <w:p>
      <w:pPr>
        <w:spacing w:after="0"/>
        <w:ind w:left="0"/>
        <w:jc w:val="both"/>
      </w:pPr>
      <w:r>
        <w:rPr>
          <w:rFonts w:ascii="Times New Roman"/>
          <w:b w:val="false"/>
          <w:i w:val="false"/>
          <w:color w:val="000000"/>
          <w:sz w:val="28"/>
        </w:rPr>
        <w:t>Agency for strategic planning and reforms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0" w:id="18"/>
      <w:r>
        <w:rPr>
          <w:rFonts w:ascii="Times New Roman"/>
          <w:b w:val="false"/>
          <w:i w:val="false"/>
          <w:color w:val="000000"/>
          <w:sz w:val="28"/>
        </w:rPr>
        <w:t>
      "AGREED"</w:t>
      </w:r>
    </w:p>
    <w:bookmarkEnd w:id="18"/>
    <w:p>
      <w:pPr>
        <w:spacing w:after="0"/>
        <w:ind w:left="0"/>
        <w:jc w:val="both"/>
      </w:pPr>
      <w:r>
        <w:rPr>
          <w:rFonts w:ascii="Times New Roman"/>
          <w:b w:val="false"/>
          <w:i w:val="false"/>
          <w:color w:val="000000"/>
          <w:sz w:val="28"/>
        </w:rPr>
        <w:t>Agency on combating corruption</w:t>
      </w:r>
    </w:p>
    <w:p>
      <w:pPr>
        <w:spacing w:after="0"/>
        <w:ind w:left="0"/>
        <w:jc w:val="both"/>
      </w:pPr>
      <w:r>
        <w:rPr>
          <w:rFonts w:ascii="Times New Roman"/>
          <w:b w:val="false"/>
          <w:i w:val="false"/>
          <w:color w:val="000000"/>
          <w:sz w:val="28"/>
        </w:rPr>
        <w:t>(Anti-corruption service)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21" w:id="19"/>
      <w:r>
        <w:rPr>
          <w:rFonts w:ascii="Times New Roman"/>
          <w:b w:val="false"/>
          <w:i w:val="false"/>
          <w:color w:val="000000"/>
          <w:sz w:val="28"/>
        </w:rPr>
        <w:t>
      "AGREED"</w:t>
      </w:r>
    </w:p>
    <w:bookmarkEnd w:id="1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22" w:id="20"/>
      <w:r>
        <w:rPr>
          <w:rFonts w:ascii="Times New Roman"/>
          <w:b w:val="false"/>
          <w:i w:val="false"/>
          <w:color w:val="000000"/>
          <w:sz w:val="28"/>
        </w:rPr>
        <w:t>
      "AGREED"</w:t>
      </w:r>
    </w:p>
    <w:bookmarkEnd w:id="20"/>
    <w:p>
      <w:pPr>
        <w:spacing w:after="0"/>
        <w:ind w:left="0"/>
        <w:jc w:val="both"/>
      </w:pPr>
      <w:r>
        <w:rPr>
          <w:rFonts w:ascii="Times New Roman"/>
          <w:b w:val="false"/>
          <w:i w:val="false"/>
          <w:color w:val="000000"/>
          <w:sz w:val="28"/>
        </w:rPr>
        <w:t>Ministry of Trade and Integration</w:t>
      </w:r>
    </w:p>
    <w:p>
      <w:pPr>
        <w:spacing w:after="0"/>
        <w:ind w:left="0"/>
        <w:jc w:val="both"/>
      </w:pPr>
      <w:r>
        <w:rPr>
          <w:rFonts w:ascii="Times New Roman"/>
          <w:b w:val="false"/>
          <w:i w:val="false"/>
          <w:color w:val="000000"/>
          <w:sz w:val="28"/>
        </w:rPr>
        <w:t>of the Republic of Kazakhstan</w:t>
      </w:r>
    </w:p>
    <w:p>
      <w:pPr>
        <w:spacing w:after="0"/>
        <w:ind w:left="0"/>
        <w:jc w:val="both"/>
      </w:pPr>
      <w:bookmarkStart w:name="z23" w:id="21"/>
      <w:r>
        <w:rPr>
          <w:rFonts w:ascii="Times New Roman"/>
          <w:b w:val="false"/>
          <w:i w:val="false"/>
          <w:color w:val="000000"/>
          <w:sz w:val="28"/>
        </w:rPr>
        <w:t>
      "AGREED"</w:t>
      </w:r>
    </w:p>
    <w:bookmarkEnd w:id="21"/>
    <w:p>
      <w:pPr>
        <w:spacing w:after="0"/>
        <w:ind w:left="0"/>
        <w:jc w:val="both"/>
      </w:pPr>
      <w:r>
        <w:rPr>
          <w:rFonts w:ascii="Times New Roman"/>
          <w:b w:val="false"/>
          <w:i w:val="false"/>
          <w:color w:val="000000"/>
          <w:sz w:val="28"/>
        </w:rPr>
        <w:t>Ministry of Foreign Affairs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4" w:id="22"/>
      <w:r>
        <w:rPr>
          <w:rFonts w:ascii="Times New Roman"/>
          <w:b w:val="false"/>
          <w:i w:val="false"/>
          <w:color w:val="000000"/>
          <w:sz w:val="28"/>
        </w:rPr>
        <w:t>
      "AGREED"</w:t>
      </w:r>
    </w:p>
    <w:bookmarkEnd w:id="22"/>
    <w:p>
      <w:pPr>
        <w:spacing w:after="0"/>
        <w:ind w:left="0"/>
        <w:jc w:val="both"/>
      </w:pPr>
      <w:r>
        <w:rPr>
          <w:rFonts w:ascii="Times New Roman"/>
          <w:b w:val="false"/>
          <w:i w:val="false"/>
          <w:color w:val="000000"/>
          <w:sz w:val="28"/>
        </w:rPr>
        <w:t>Ministry of Emergency Situations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5" w:id="23"/>
      <w:r>
        <w:rPr>
          <w:rFonts w:ascii="Times New Roman"/>
          <w:b w:val="false"/>
          <w:i w:val="false"/>
          <w:color w:val="000000"/>
          <w:sz w:val="28"/>
        </w:rPr>
        <w:t>
      "AGREED"</w:t>
      </w:r>
    </w:p>
    <w:bookmarkEnd w:id="23"/>
    <w:p>
      <w:pPr>
        <w:spacing w:after="0"/>
        <w:ind w:left="0"/>
        <w:jc w:val="both"/>
      </w:pPr>
      <w:r>
        <w:rPr>
          <w:rFonts w:ascii="Times New Roman"/>
          <w:b w:val="false"/>
          <w:i w:val="false"/>
          <w:color w:val="000000"/>
          <w:sz w:val="28"/>
        </w:rPr>
        <w:t>Ministry of Digital</w:t>
      </w:r>
    </w:p>
    <w:p>
      <w:pPr>
        <w:spacing w:after="0"/>
        <w:ind w:left="0"/>
        <w:jc w:val="both"/>
      </w:pPr>
      <w:r>
        <w:rPr>
          <w:rFonts w:ascii="Times New Roman"/>
          <w:b w:val="false"/>
          <w:i w:val="false"/>
          <w:color w:val="000000"/>
          <w:sz w:val="28"/>
        </w:rPr>
        <w:t>Development, Innovations</w:t>
      </w:r>
    </w:p>
    <w:p>
      <w:pPr>
        <w:spacing w:after="0"/>
        <w:ind w:left="0"/>
        <w:jc w:val="both"/>
      </w:pPr>
      <w:r>
        <w:rPr>
          <w:rFonts w:ascii="Times New Roman"/>
          <w:b w:val="false"/>
          <w:i w:val="false"/>
          <w:color w:val="000000"/>
          <w:sz w:val="28"/>
        </w:rPr>
        <w:t>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bookmarkStart w:name="z26" w:id="24"/>
      <w:r>
        <w:rPr>
          <w:rFonts w:ascii="Times New Roman"/>
          <w:b w:val="false"/>
          <w:i w:val="false"/>
          <w:color w:val="000000"/>
          <w:sz w:val="28"/>
        </w:rPr>
        <w:t>
      "AGREED"</w:t>
      </w:r>
    </w:p>
    <w:bookmarkEnd w:id="24"/>
    <w:p>
      <w:pPr>
        <w:spacing w:after="0"/>
        <w:ind w:left="0"/>
        <w:jc w:val="both"/>
      </w:pPr>
      <w:r>
        <w:rPr>
          <w:rFonts w:ascii="Times New Roman"/>
          <w:b w:val="false"/>
          <w:i w:val="false"/>
          <w:color w:val="000000"/>
          <w:sz w:val="28"/>
        </w:rPr>
        <w:t xml:space="preserve">Ministry of Internal Affairs </w:t>
      </w:r>
    </w:p>
    <w:p>
      <w:pPr>
        <w:spacing w:after="0"/>
        <w:ind w:left="0"/>
        <w:jc w:val="both"/>
      </w:pPr>
      <w:r>
        <w:rPr>
          <w:rFonts w:ascii="Times New Roman"/>
          <w:b w:val="false"/>
          <w:i w:val="false"/>
          <w:color w:val="000000"/>
          <w:sz w:val="28"/>
        </w:rPr>
        <w:t>of the Republic of Kazakhstan</w:t>
      </w:r>
    </w:p>
    <w:p>
      <w:pPr>
        <w:spacing w:after="0"/>
        <w:ind w:left="0"/>
        <w:jc w:val="both"/>
      </w:pPr>
      <w:bookmarkStart w:name="z27" w:id="25"/>
      <w:r>
        <w:rPr>
          <w:rFonts w:ascii="Times New Roman"/>
          <w:b w:val="false"/>
          <w:i w:val="false"/>
          <w:color w:val="000000"/>
          <w:sz w:val="28"/>
        </w:rPr>
        <w:t>
      "AGREED"</w:t>
      </w:r>
    </w:p>
    <w:bookmarkEnd w:id="25"/>
    <w:p>
      <w:pPr>
        <w:spacing w:after="0"/>
        <w:ind w:left="0"/>
        <w:jc w:val="both"/>
      </w:pPr>
      <w:r>
        <w:rPr>
          <w:rFonts w:ascii="Times New Roman"/>
          <w:b w:val="false"/>
          <w:i w:val="false"/>
          <w:color w:val="000000"/>
          <w:sz w:val="28"/>
        </w:rPr>
        <w:t>Ministry of Ecology,</w:t>
      </w:r>
    </w:p>
    <w:p>
      <w:pPr>
        <w:spacing w:after="0"/>
        <w:ind w:left="0"/>
        <w:jc w:val="both"/>
      </w:pPr>
      <w:r>
        <w:rPr>
          <w:rFonts w:ascii="Times New Roman"/>
          <w:b w:val="false"/>
          <w:i w:val="false"/>
          <w:color w:val="000000"/>
          <w:sz w:val="28"/>
        </w:rPr>
        <w:t>Geology and Natural Resources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8" w:id="26"/>
      <w:r>
        <w:rPr>
          <w:rFonts w:ascii="Times New Roman"/>
          <w:b w:val="false"/>
          <w:i w:val="false"/>
          <w:color w:val="000000"/>
          <w:sz w:val="28"/>
        </w:rPr>
        <w:t>
      "AGREED"</w:t>
      </w:r>
    </w:p>
    <w:bookmarkEnd w:id="26"/>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w:t>
            </w:r>
            <w:r>
              <w:br/>
            </w:r>
            <w:r>
              <w:rPr>
                <w:rFonts w:ascii="Times New Roman"/>
                <w:b w:val="false"/>
                <w:i w:val="false"/>
                <w:color w:val="000000"/>
                <w:sz w:val="20"/>
              </w:rPr>
              <w:t xml:space="preserve">of Information and Social </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February 26, 2021 № 73</w:t>
            </w:r>
          </w:p>
        </w:tc>
      </w:tr>
    </w:tbl>
    <w:bookmarkStart w:name="z30" w:id="27"/>
    <w:p>
      <w:pPr>
        <w:spacing w:after="0"/>
        <w:ind w:left="0"/>
        <w:jc w:val="left"/>
      </w:pPr>
      <w:r>
        <w:rPr>
          <w:rFonts w:ascii="Times New Roman"/>
          <w:b/>
          <w:i w:val="false"/>
          <w:color w:val="000000"/>
        </w:rPr>
        <w:t xml:space="preserve"> Rules for organization and conduct of public control</w:t>
      </w:r>
    </w:p>
    <w:bookmarkEnd w:id="27"/>
    <w:bookmarkStart w:name="z31" w:id="28"/>
    <w:p>
      <w:pPr>
        <w:spacing w:after="0"/>
        <w:ind w:left="0"/>
        <w:jc w:val="left"/>
      </w:pPr>
      <w:r>
        <w:rPr>
          <w:rFonts w:ascii="Times New Roman"/>
          <w:b/>
          <w:i w:val="false"/>
          <w:color w:val="000000"/>
        </w:rPr>
        <w:t xml:space="preserve"> Chapter 1. General provisions</w:t>
      </w:r>
    </w:p>
    <w:bookmarkEnd w:id="28"/>
    <w:bookmarkStart w:name="z32" w:id="29"/>
    <w:p>
      <w:pPr>
        <w:spacing w:after="0"/>
        <w:ind w:left="0"/>
        <w:jc w:val="both"/>
      </w:pPr>
      <w:r>
        <w:rPr>
          <w:rFonts w:ascii="Times New Roman"/>
          <w:b w:val="false"/>
          <w:i w:val="false"/>
          <w:color w:val="000000"/>
          <w:sz w:val="28"/>
        </w:rPr>
        <w:t>
      1. The rules for organization and conduct of public control (hereinafter - the Rules) have been developed in accordance with subparagraph 5) of paragraph 2 of Article 2-1 of the Law of the Republic of Kazakhstan dated November 2, 2015 “On Public Councils” (hereinafter-the Law).</w:t>
      </w:r>
    </w:p>
    <w:bookmarkEnd w:id="29"/>
    <w:bookmarkStart w:name="z33" w:id="30"/>
    <w:p>
      <w:pPr>
        <w:spacing w:after="0"/>
        <w:ind w:left="0"/>
        <w:jc w:val="both"/>
      </w:pPr>
      <w:r>
        <w:rPr>
          <w:rFonts w:ascii="Times New Roman"/>
          <w:b w:val="false"/>
          <w:i w:val="false"/>
          <w:color w:val="000000"/>
          <w:sz w:val="28"/>
        </w:rPr>
        <w:t>
      2. Public councils shall be consultative, advisory, supervisory bodies formed by ministries, bodies directly subordinate and accountable to the President of the Republic of Kazakhstan, local state bodies, subjects of the quasi-public sector on issues of their competence, with the exception of state bodies specified in part two of this paragraph, together with non-profit organizations, citizens.</w:t>
      </w:r>
    </w:p>
    <w:bookmarkEnd w:id="30"/>
    <w:bookmarkStart w:name="z34" w:id="31"/>
    <w:p>
      <w:pPr>
        <w:spacing w:after="0"/>
        <w:ind w:left="0"/>
        <w:jc w:val="both"/>
      </w:pPr>
      <w:r>
        <w:rPr>
          <w:rFonts w:ascii="Times New Roman"/>
          <w:b w:val="false"/>
          <w:i w:val="false"/>
          <w:color w:val="000000"/>
          <w:sz w:val="28"/>
        </w:rPr>
        <w:t>
      Public councils shall not be formed with participation of the Supreme Court of the Republic of Kazakhstan, the Constitutional Council of the Republic of Kazakhstan, the prosecution authorities, the Administration of the President of the Republic of Kazakhstan, the National Bank of the Republic of Kazakhstan, the Ministry of Defence of the Republic of Kazakhstan, the Administration of the President of the Republic of Kazakhstan, the Office of the Prime Minister of the Republic of Kazakhstan, the Department of Material and technical support, the National Centre for Human Rights of the Republic of Kazakhstan, the Accounts Committee for Control over the Execution of the Republican Budget, the Central Election Commission of the Republic of Kazakhstan, the Supreme Judicial Council of the Republic of Kazakhstan, the authorized body for regulation, control and supervision of the financial market and financial organizations, special state bodies of the Republic Kazakhstan.</w:t>
      </w:r>
    </w:p>
    <w:bookmarkEnd w:id="31"/>
    <w:bookmarkStart w:name="z35" w:id="32"/>
    <w:p>
      <w:pPr>
        <w:spacing w:after="0"/>
        <w:ind w:left="0"/>
        <w:jc w:val="both"/>
      </w:pPr>
      <w:r>
        <w:rPr>
          <w:rFonts w:ascii="Times New Roman"/>
          <w:b w:val="false"/>
          <w:i w:val="false"/>
          <w:color w:val="000000"/>
          <w:sz w:val="28"/>
        </w:rPr>
        <w:t>
      3. The following concepts are used in these Rules:</w:t>
      </w:r>
    </w:p>
    <w:bookmarkEnd w:id="32"/>
    <w:bookmarkStart w:name="z36" w:id="33"/>
    <w:p>
      <w:pPr>
        <w:spacing w:after="0"/>
        <w:ind w:left="0"/>
        <w:jc w:val="both"/>
      </w:pPr>
      <w:r>
        <w:rPr>
          <w:rFonts w:ascii="Times New Roman"/>
          <w:b w:val="false"/>
          <w:i w:val="false"/>
          <w:color w:val="000000"/>
          <w:sz w:val="28"/>
        </w:rPr>
        <w:t>
      1) hearing a report on the results of work of a state body, a subject of the quasi–public sector - a public control procedure and represents a public discussion at a meeting of the Public Council of the results of activities of state bodies, local self-government bodies and their officials on the issues provided for in subparagraphs 2) and 3) of paragraph 1 of Article 5 of the Law, subjects of the quasi-public sector on the issues provided for by sub-paragraphs 2) and 3) of paragraph 1 of Article 5-1 of the Law;</w:t>
      </w:r>
    </w:p>
    <w:bookmarkEnd w:id="33"/>
    <w:bookmarkStart w:name="z37" w:id="34"/>
    <w:p>
      <w:pPr>
        <w:spacing w:after="0"/>
        <w:ind w:left="0"/>
        <w:jc w:val="both"/>
      </w:pPr>
      <w:r>
        <w:rPr>
          <w:rFonts w:ascii="Times New Roman"/>
          <w:b w:val="false"/>
          <w:i w:val="false"/>
          <w:color w:val="000000"/>
          <w:sz w:val="28"/>
        </w:rPr>
        <w:t>
      2) public control - the activities of subjects of public control, carried out in the form of public monitoring, public hearing, public examination and hearing a report on the results of the work of a state body, a subject of the quasi-public sector, aimed at protecting public interests;</w:t>
      </w:r>
    </w:p>
    <w:bookmarkEnd w:id="34"/>
    <w:bookmarkStart w:name="z38" w:id="35"/>
    <w:p>
      <w:pPr>
        <w:spacing w:after="0"/>
        <w:ind w:left="0"/>
        <w:jc w:val="both"/>
      </w:pPr>
      <w:r>
        <w:rPr>
          <w:rFonts w:ascii="Times New Roman"/>
          <w:b w:val="false"/>
          <w:i w:val="false"/>
          <w:color w:val="000000"/>
          <w:sz w:val="28"/>
        </w:rPr>
        <w:t>
      3) an object of public control - the activities of state bodies of the republican and local levels and their officials, as well as the activities of subjects of the quasi-public sector;</w:t>
      </w:r>
    </w:p>
    <w:bookmarkEnd w:id="35"/>
    <w:bookmarkStart w:name="z39" w:id="36"/>
    <w:p>
      <w:pPr>
        <w:spacing w:after="0"/>
        <w:ind w:left="0"/>
        <w:jc w:val="both"/>
      </w:pPr>
      <w:r>
        <w:rPr>
          <w:rFonts w:ascii="Times New Roman"/>
          <w:b w:val="false"/>
          <w:i w:val="false"/>
          <w:color w:val="000000"/>
          <w:sz w:val="28"/>
        </w:rPr>
        <w:t>
      4) a subject of public control - public councils, as well as non-profit organizations, citizens on behalf of public councils;</w:t>
      </w:r>
    </w:p>
    <w:bookmarkEnd w:id="36"/>
    <w:bookmarkStart w:name="z40" w:id="37"/>
    <w:p>
      <w:pPr>
        <w:spacing w:after="0"/>
        <w:ind w:left="0"/>
        <w:jc w:val="both"/>
      </w:pPr>
      <w:r>
        <w:rPr>
          <w:rFonts w:ascii="Times New Roman"/>
          <w:b w:val="false"/>
          <w:i w:val="false"/>
          <w:color w:val="000000"/>
          <w:sz w:val="28"/>
        </w:rPr>
        <w:t xml:space="preserve">
      5) public monitoring - the procedure of public control, which is an observation by the subjects of public control over the activities of state bodies, subjects of the quasi-public sector; </w:t>
      </w:r>
    </w:p>
    <w:bookmarkEnd w:id="37"/>
    <w:bookmarkStart w:name="z41" w:id="38"/>
    <w:p>
      <w:pPr>
        <w:spacing w:after="0"/>
        <w:ind w:left="0"/>
        <w:jc w:val="both"/>
      </w:pPr>
      <w:r>
        <w:rPr>
          <w:rFonts w:ascii="Times New Roman"/>
          <w:b w:val="false"/>
          <w:i w:val="false"/>
          <w:color w:val="000000"/>
          <w:sz w:val="28"/>
        </w:rPr>
        <w:t>
      6) public expertise - a public control procedure based on the use by the subjects of public control of special knowledge and (or) experience for research, analysis and evaluation for the observance of public interests in preserving an environment favourable for the life and health of citizens, as well as the exclusion of factors that have negative impact on the security of individuals, settlements and production facilities;</w:t>
      </w:r>
    </w:p>
    <w:bookmarkEnd w:id="38"/>
    <w:bookmarkStart w:name="z42" w:id="39"/>
    <w:p>
      <w:pPr>
        <w:spacing w:after="0"/>
        <w:ind w:left="0"/>
        <w:jc w:val="both"/>
      </w:pPr>
      <w:r>
        <w:rPr>
          <w:rFonts w:ascii="Times New Roman"/>
          <w:b w:val="false"/>
          <w:i w:val="false"/>
          <w:color w:val="000000"/>
          <w:sz w:val="28"/>
        </w:rPr>
        <w:t>
      7) public hearing - a public control procedure carried out by holding a meeting for public discussion of issues provided for in subparagraphs 1), 5) and 6) of paragraph 1 of Article 5, subparagraph 1) of paragraph 1 of Article 5-1 of the Law, as well as socially significant decisions of state bodies, subjects of the quasi-public sector on the issue of their compliance with public interests.</w:t>
      </w:r>
    </w:p>
    <w:bookmarkEnd w:id="39"/>
    <w:bookmarkStart w:name="z43" w:id="40"/>
    <w:p>
      <w:pPr>
        <w:spacing w:after="0"/>
        <w:ind w:left="0"/>
        <w:jc w:val="left"/>
      </w:pPr>
      <w:r>
        <w:rPr>
          <w:rFonts w:ascii="Times New Roman"/>
          <w:b/>
          <w:i w:val="false"/>
          <w:color w:val="000000"/>
        </w:rPr>
        <w:t xml:space="preserve"> Chapter 2. The procedure for organization and conduct of public control</w:t>
      </w:r>
    </w:p>
    <w:bookmarkEnd w:id="40"/>
    <w:bookmarkStart w:name="z44" w:id="41"/>
    <w:p>
      <w:pPr>
        <w:spacing w:after="0"/>
        <w:ind w:left="0"/>
        <w:jc w:val="left"/>
      </w:pPr>
      <w:r>
        <w:rPr>
          <w:rFonts w:ascii="Times New Roman"/>
          <w:b/>
          <w:i w:val="false"/>
          <w:color w:val="000000"/>
        </w:rPr>
        <w:t xml:space="preserve"> Paragraph 1. The procedure for organization and conduct of public monitoring</w:t>
      </w:r>
    </w:p>
    <w:bookmarkEnd w:id="41"/>
    <w:bookmarkStart w:name="z45" w:id="42"/>
    <w:p>
      <w:pPr>
        <w:spacing w:after="0"/>
        <w:ind w:left="0"/>
        <w:jc w:val="both"/>
      </w:pPr>
      <w:r>
        <w:rPr>
          <w:rFonts w:ascii="Times New Roman"/>
          <w:b w:val="false"/>
          <w:i w:val="false"/>
          <w:color w:val="000000"/>
          <w:sz w:val="28"/>
        </w:rPr>
        <w:t>
      4. Public monitoring shall be carried out by members of the Public Council, as well as representatives of non-profit organizations and citizens on behalf of the Public Council.</w:t>
      </w:r>
    </w:p>
    <w:bookmarkEnd w:id="42"/>
    <w:bookmarkStart w:name="z46" w:id="43"/>
    <w:p>
      <w:pPr>
        <w:spacing w:after="0"/>
        <w:ind w:left="0"/>
        <w:jc w:val="both"/>
      </w:pPr>
      <w:r>
        <w:rPr>
          <w:rFonts w:ascii="Times New Roman"/>
          <w:b w:val="false"/>
          <w:i w:val="false"/>
          <w:color w:val="000000"/>
          <w:sz w:val="28"/>
        </w:rPr>
        <w:t>
      5. The Public Council shall develop and approve a plan for conducting public monitoring, which contains the object of public control, timing, goals and objectives.</w:t>
      </w:r>
    </w:p>
    <w:bookmarkEnd w:id="43"/>
    <w:bookmarkStart w:name="z47" w:id="44"/>
    <w:p>
      <w:pPr>
        <w:spacing w:after="0"/>
        <w:ind w:left="0"/>
        <w:jc w:val="both"/>
      </w:pPr>
      <w:r>
        <w:rPr>
          <w:rFonts w:ascii="Times New Roman"/>
          <w:b w:val="false"/>
          <w:i w:val="false"/>
          <w:color w:val="000000"/>
          <w:sz w:val="28"/>
        </w:rPr>
        <w:t>
      6. When conducting public monitoring, members of the Public Council shall request from state bodies and their officials, as well as from subjects of the quasi-public sector, the necessary information related to the subject of monitoring, in the manner and on the grounds established by the legislation of the Republic of Kazakhstan in the field of access to information.</w:t>
      </w:r>
    </w:p>
    <w:bookmarkEnd w:id="44"/>
    <w:bookmarkStart w:name="z48" w:id="45"/>
    <w:p>
      <w:pPr>
        <w:spacing w:after="0"/>
        <w:ind w:left="0"/>
        <w:jc w:val="both"/>
      </w:pPr>
      <w:r>
        <w:rPr>
          <w:rFonts w:ascii="Times New Roman"/>
          <w:b w:val="false"/>
          <w:i w:val="false"/>
          <w:color w:val="000000"/>
          <w:sz w:val="28"/>
        </w:rPr>
        <w:t>
      7. Based on the results of public monitoring, the persons who carried it out shall draw up a conclusion. The conclusion of public monitoring includes:</w:t>
      </w:r>
    </w:p>
    <w:bookmarkEnd w:id="45"/>
    <w:bookmarkStart w:name="z49" w:id="46"/>
    <w:p>
      <w:pPr>
        <w:spacing w:after="0"/>
        <w:ind w:left="0"/>
        <w:jc w:val="both"/>
      </w:pPr>
      <w:r>
        <w:rPr>
          <w:rFonts w:ascii="Times New Roman"/>
          <w:b w:val="false"/>
          <w:i w:val="false"/>
          <w:color w:val="000000"/>
          <w:sz w:val="28"/>
        </w:rPr>
        <w:t>
      1) information on the identified negative consequences for citizens and on the infringement of public interests as a result of provision of public services;</w:t>
      </w:r>
    </w:p>
    <w:bookmarkEnd w:id="46"/>
    <w:bookmarkStart w:name="z50" w:id="47"/>
    <w:p>
      <w:pPr>
        <w:spacing w:after="0"/>
        <w:ind w:left="0"/>
        <w:jc w:val="both"/>
      </w:pPr>
      <w:r>
        <w:rPr>
          <w:rFonts w:ascii="Times New Roman"/>
          <w:b w:val="false"/>
          <w:i w:val="false"/>
          <w:color w:val="000000"/>
          <w:sz w:val="28"/>
        </w:rPr>
        <w:t>
      2) recommendations for eliminating the causes and conditions identified in the course of public monitoring of violations of the legislation of the Republic of Kazakhstan;</w:t>
      </w:r>
    </w:p>
    <w:bookmarkEnd w:id="47"/>
    <w:bookmarkStart w:name="z51" w:id="48"/>
    <w:p>
      <w:pPr>
        <w:spacing w:after="0"/>
        <w:ind w:left="0"/>
        <w:jc w:val="both"/>
      </w:pPr>
      <w:r>
        <w:rPr>
          <w:rFonts w:ascii="Times New Roman"/>
          <w:b w:val="false"/>
          <w:i w:val="false"/>
          <w:color w:val="000000"/>
          <w:sz w:val="28"/>
        </w:rPr>
        <w:t>
      3) proposals for improving the efficiency of controlled facilities;</w:t>
      </w:r>
    </w:p>
    <w:bookmarkEnd w:id="48"/>
    <w:bookmarkStart w:name="z52" w:id="49"/>
    <w:p>
      <w:pPr>
        <w:spacing w:after="0"/>
        <w:ind w:left="0"/>
        <w:jc w:val="both"/>
      </w:pPr>
      <w:r>
        <w:rPr>
          <w:rFonts w:ascii="Times New Roman"/>
          <w:b w:val="false"/>
          <w:i w:val="false"/>
          <w:color w:val="000000"/>
          <w:sz w:val="28"/>
        </w:rPr>
        <w:t>
      4) proposals for making changes and additions to regulatory legal acts, internal documents of subjects of the quasi-public sector.</w:t>
      </w:r>
    </w:p>
    <w:bookmarkEnd w:id="49"/>
    <w:bookmarkStart w:name="z53" w:id="50"/>
    <w:p>
      <w:pPr>
        <w:spacing w:after="0"/>
        <w:ind w:left="0"/>
        <w:jc w:val="both"/>
      </w:pPr>
      <w:r>
        <w:rPr>
          <w:rFonts w:ascii="Times New Roman"/>
          <w:b w:val="false"/>
          <w:i w:val="false"/>
          <w:color w:val="000000"/>
          <w:sz w:val="28"/>
        </w:rPr>
        <w:t>
      8. Based on the conclusion of public monitoring, the Public Council shall adopt recommendations and within ten calendar days from the date of adoption they shall be sent to the relevant state bodies, subjects of the quasi-public sector.</w:t>
      </w:r>
    </w:p>
    <w:bookmarkEnd w:id="50"/>
    <w:bookmarkStart w:name="z54" w:id="51"/>
    <w:p>
      <w:pPr>
        <w:spacing w:after="0"/>
        <w:ind w:left="0"/>
        <w:jc w:val="both"/>
      </w:pPr>
      <w:r>
        <w:rPr>
          <w:rFonts w:ascii="Times New Roman"/>
          <w:b w:val="false"/>
          <w:i w:val="false"/>
          <w:color w:val="000000"/>
          <w:sz w:val="28"/>
        </w:rPr>
        <w:t>
      Within a month, state bodies shall take decisions provided for by the legislation of the Republic of Kazakhstan and (or) give a reasoned answer, signed by the first head of the relevant state body or a person replacing him/her.</w:t>
      </w:r>
    </w:p>
    <w:bookmarkEnd w:id="51"/>
    <w:bookmarkStart w:name="z55" w:id="52"/>
    <w:p>
      <w:pPr>
        <w:spacing w:after="0"/>
        <w:ind w:left="0"/>
        <w:jc w:val="both"/>
      </w:pPr>
      <w:r>
        <w:rPr>
          <w:rFonts w:ascii="Times New Roman"/>
          <w:b w:val="false"/>
          <w:i w:val="false"/>
          <w:color w:val="000000"/>
          <w:sz w:val="28"/>
        </w:rPr>
        <w:t>
      Subjects of the quasi-public sector within a month shall give a reasoned response, signed by the first head of the corresponding subject of the quasi-public sector or a person replacing him/her.</w:t>
      </w:r>
    </w:p>
    <w:bookmarkEnd w:id="52"/>
    <w:bookmarkStart w:name="z56" w:id="53"/>
    <w:p>
      <w:pPr>
        <w:spacing w:after="0"/>
        <w:ind w:left="0"/>
        <w:jc w:val="both"/>
      </w:pPr>
      <w:r>
        <w:rPr>
          <w:rFonts w:ascii="Times New Roman"/>
          <w:b w:val="false"/>
          <w:i w:val="false"/>
          <w:color w:val="000000"/>
          <w:sz w:val="28"/>
        </w:rPr>
        <w:t>
      9. The Presidium of the Public Council shall monitor the implementation of these recommendations.</w:t>
      </w:r>
    </w:p>
    <w:bookmarkEnd w:id="53"/>
    <w:bookmarkStart w:name="z57" w:id="54"/>
    <w:p>
      <w:pPr>
        <w:spacing w:after="0"/>
        <w:ind w:left="0"/>
        <w:jc w:val="left"/>
      </w:pPr>
      <w:r>
        <w:rPr>
          <w:rFonts w:ascii="Times New Roman"/>
          <w:b/>
          <w:i w:val="false"/>
          <w:color w:val="000000"/>
        </w:rPr>
        <w:t xml:space="preserve"> Paragraph 2. The procedure for organization and conduct of a public hearing</w:t>
      </w:r>
    </w:p>
    <w:bookmarkEnd w:id="54"/>
    <w:bookmarkStart w:name="z58" w:id="55"/>
    <w:p>
      <w:pPr>
        <w:spacing w:after="0"/>
        <w:ind w:left="0"/>
        <w:jc w:val="both"/>
      </w:pPr>
      <w:r>
        <w:rPr>
          <w:rFonts w:ascii="Times New Roman"/>
          <w:b w:val="false"/>
          <w:i w:val="false"/>
          <w:color w:val="000000"/>
          <w:sz w:val="28"/>
        </w:rPr>
        <w:t>
      10. A public hearing shall be held at the initiative of the Public council within the terms agreed with the republican or local state body, a subject of the quasi-public sector.</w:t>
      </w:r>
    </w:p>
    <w:bookmarkEnd w:id="55"/>
    <w:bookmarkStart w:name="z59" w:id="56"/>
    <w:p>
      <w:pPr>
        <w:spacing w:after="0"/>
        <w:ind w:left="0"/>
        <w:jc w:val="both"/>
      </w:pPr>
      <w:r>
        <w:rPr>
          <w:rFonts w:ascii="Times New Roman"/>
          <w:b w:val="false"/>
          <w:i w:val="false"/>
          <w:color w:val="000000"/>
          <w:sz w:val="28"/>
        </w:rPr>
        <w:t>
      11. The procedure for organization and conduct of a public hearing should provide for:</w:t>
      </w:r>
    </w:p>
    <w:bookmarkEnd w:id="56"/>
    <w:bookmarkStart w:name="z60" w:id="57"/>
    <w:p>
      <w:pPr>
        <w:spacing w:after="0"/>
        <w:ind w:left="0"/>
        <w:jc w:val="both"/>
      </w:pPr>
      <w:r>
        <w:rPr>
          <w:rFonts w:ascii="Times New Roman"/>
          <w:b w:val="false"/>
          <w:i w:val="false"/>
          <w:color w:val="000000"/>
          <w:sz w:val="28"/>
        </w:rPr>
        <w:t>
      1) advance notification of the participants of a public hearing about the time and place of its holding through the mass media and (or) written invitations, but no later than ten calendar days before the day of its holding;</w:t>
      </w:r>
    </w:p>
    <w:bookmarkEnd w:id="57"/>
    <w:bookmarkStart w:name="z61" w:id="58"/>
    <w:p>
      <w:pPr>
        <w:spacing w:after="0"/>
        <w:ind w:left="0"/>
        <w:jc w:val="both"/>
      </w:pPr>
      <w:r>
        <w:rPr>
          <w:rFonts w:ascii="Times New Roman"/>
          <w:b w:val="false"/>
          <w:i w:val="false"/>
          <w:color w:val="000000"/>
          <w:sz w:val="28"/>
        </w:rPr>
        <w:t>
      2) advance familiarization with draft regulatory legal acts and decisions submitted for public hearing, but no later than ten calendar days before the day of its holding;</w:t>
      </w:r>
    </w:p>
    <w:bookmarkEnd w:id="58"/>
    <w:bookmarkStart w:name="z62" w:id="59"/>
    <w:p>
      <w:pPr>
        <w:spacing w:after="0"/>
        <w:ind w:left="0"/>
        <w:jc w:val="both"/>
      </w:pPr>
      <w:r>
        <w:rPr>
          <w:rFonts w:ascii="Times New Roman"/>
          <w:b w:val="false"/>
          <w:i w:val="false"/>
          <w:color w:val="000000"/>
          <w:sz w:val="28"/>
        </w:rPr>
        <w:t>
      3) other measures ensuring participation in the public hearing;</w:t>
      </w:r>
    </w:p>
    <w:bookmarkEnd w:id="59"/>
    <w:bookmarkStart w:name="z63" w:id="60"/>
    <w:p>
      <w:pPr>
        <w:spacing w:after="0"/>
        <w:ind w:left="0"/>
        <w:jc w:val="both"/>
      </w:pPr>
      <w:r>
        <w:rPr>
          <w:rFonts w:ascii="Times New Roman"/>
          <w:b w:val="false"/>
          <w:i w:val="false"/>
          <w:color w:val="000000"/>
          <w:sz w:val="28"/>
        </w:rPr>
        <w:t>
      4) publication of the final protocol of a public hearing, including a reasoned justification for the decisions made.</w:t>
      </w:r>
    </w:p>
    <w:bookmarkEnd w:id="60"/>
    <w:bookmarkStart w:name="z64" w:id="61"/>
    <w:p>
      <w:pPr>
        <w:spacing w:after="0"/>
        <w:ind w:left="0"/>
        <w:jc w:val="both"/>
      </w:pPr>
      <w:r>
        <w:rPr>
          <w:rFonts w:ascii="Times New Roman"/>
          <w:b w:val="false"/>
          <w:i w:val="false"/>
          <w:color w:val="000000"/>
          <w:sz w:val="28"/>
        </w:rPr>
        <w:t>
      12. The Chairman of the Public council (or a person authorized by him/her) (hereinafter- the Chairman) opens a public hearing, announces the topic of its holding, the agenda, the time limit for the speeches of participants.</w:t>
      </w:r>
    </w:p>
    <w:bookmarkEnd w:id="61"/>
    <w:bookmarkStart w:name="z65" w:id="62"/>
    <w:p>
      <w:pPr>
        <w:spacing w:after="0"/>
        <w:ind w:left="0"/>
        <w:jc w:val="both"/>
      </w:pPr>
      <w:r>
        <w:rPr>
          <w:rFonts w:ascii="Times New Roman"/>
          <w:b w:val="false"/>
          <w:i w:val="false"/>
          <w:color w:val="000000"/>
          <w:sz w:val="28"/>
        </w:rPr>
        <w:t>
      13. During the public hearing, a protocol shall be kept, which records:</w:t>
      </w:r>
    </w:p>
    <w:bookmarkEnd w:id="62"/>
    <w:bookmarkStart w:name="z66" w:id="63"/>
    <w:p>
      <w:pPr>
        <w:spacing w:after="0"/>
        <w:ind w:left="0"/>
        <w:jc w:val="both"/>
      </w:pPr>
      <w:r>
        <w:rPr>
          <w:rFonts w:ascii="Times New Roman"/>
          <w:b w:val="false"/>
          <w:i w:val="false"/>
          <w:color w:val="000000"/>
          <w:sz w:val="28"/>
        </w:rPr>
        <w:t>
      1) the date and place of a public hearing;</w:t>
      </w:r>
    </w:p>
    <w:bookmarkEnd w:id="63"/>
    <w:bookmarkStart w:name="z67" w:id="64"/>
    <w:p>
      <w:pPr>
        <w:spacing w:after="0"/>
        <w:ind w:left="0"/>
        <w:jc w:val="both"/>
      </w:pPr>
      <w:r>
        <w:rPr>
          <w:rFonts w:ascii="Times New Roman"/>
          <w:b w:val="false"/>
          <w:i w:val="false"/>
          <w:color w:val="000000"/>
          <w:sz w:val="28"/>
        </w:rPr>
        <w:t>
      2) the number of people present;</w:t>
      </w:r>
    </w:p>
    <w:bookmarkEnd w:id="64"/>
    <w:bookmarkStart w:name="z68" w:id="65"/>
    <w:p>
      <w:pPr>
        <w:spacing w:after="0"/>
        <w:ind w:left="0"/>
        <w:jc w:val="both"/>
      </w:pPr>
      <w:r>
        <w:rPr>
          <w:rFonts w:ascii="Times New Roman"/>
          <w:b w:val="false"/>
          <w:i w:val="false"/>
          <w:color w:val="000000"/>
          <w:sz w:val="28"/>
        </w:rPr>
        <w:t>
      3) surnames, names, patronymics (if it is indicated in the identity document) of the chairman and secretary of the public hearing;</w:t>
      </w:r>
    </w:p>
    <w:bookmarkEnd w:id="65"/>
    <w:bookmarkStart w:name="z69" w:id="66"/>
    <w:p>
      <w:pPr>
        <w:spacing w:after="0"/>
        <w:ind w:left="0"/>
        <w:jc w:val="both"/>
      </w:pPr>
      <w:r>
        <w:rPr>
          <w:rFonts w:ascii="Times New Roman"/>
          <w:b w:val="false"/>
          <w:i w:val="false"/>
          <w:color w:val="000000"/>
          <w:sz w:val="28"/>
        </w:rPr>
        <w:t>
      4) agenda, content of speeches.</w:t>
      </w:r>
    </w:p>
    <w:bookmarkEnd w:id="66"/>
    <w:bookmarkStart w:name="z70" w:id="67"/>
    <w:p>
      <w:pPr>
        <w:spacing w:after="0"/>
        <w:ind w:left="0"/>
        <w:jc w:val="both"/>
      </w:pPr>
      <w:r>
        <w:rPr>
          <w:rFonts w:ascii="Times New Roman"/>
          <w:b w:val="false"/>
          <w:i w:val="false"/>
          <w:color w:val="000000"/>
          <w:sz w:val="28"/>
        </w:rPr>
        <w:t>
      14. Based on the results of a public hearing, a final protocol shall be adopted, which is signed by the chairman and secretary of the public hearing.</w:t>
      </w:r>
    </w:p>
    <w:bookmarkEnd w:id="67"/>
    <w:bookmarkStart w:name="z71" w:id="68"/>
    <w:p>
      <w:pPr>
        <w:spacing w:after="0"/>
        <w:ind w:left="0"/>
        <w:jc w:val="both"/>
      </w:pPr>
      <w:r>
        <w:rPr>
          <w:rFonts w:ascii="Times New Roman"/>
          <w:b w:val="false"/>
          <w:i w:val="false"/>
          <w:color w:val="000000"/>
          <w:sz w:val="28"/>
        </w:rPr>
        <w:t>
      15. The final protocol shall be considered adopted if more than half of members of the Public council present voted for it.</w:t>
      </w:r>
    </w:p>
    <w:bookmarkEnd w:id="68"/>
    <w:bookmarkStart w:name="z72" w:id="69"/>
    <w:p>
      <w:pPr>
        <w:spacing w:after="0"/>
        <w:ind w:left="0"/>
        <w:jc w:val="both"/>
      </w:pPr>
      <w:r>
        <w:rPr>
          <w:rFonts w:ascii="Times New Roman"/>
          <w:b w:val="false"/>
          <w:i w:val="false"/>
          <w:color w:val="000000"/>
          <w:sz w:val="28"/>
        </w:rPr>
        <w:t>
      16. The final protocol of the public hearing includes:</w:t>
      </w:r>
    </w:p>
    <w:bookmarkEnd w:id="69"/>
    <w:bookmarkStart w:name="z73" w:id="70"/>
    <w:p>
      <w:pPr>
        <w:spacing w:after="0"/>
        <w:ind w:left="0"/>
        <w:jc w:val="both"/>
      </w:pPr>
      <w:r>
        <w:rPr>
          <w:rFonts w:ascii="Times New Roman"/>
          <w:b w:val="false"/>
          <w:i w:val="false"/>
          <w:color w:val="000000"/>
          <w:sz w:val="28"/>
        </w:rPr>
        <w:t>
      1) information on compliance with the legislation of the Republic of Kazakhstan by controlled state bodies and their officials, as well as subjects of the quasi-public sector;</w:t>
      </w:r>
    </w:p>
    <w:bookmarkEnd w:id="70"/>
    <w:bookmarkStart w:name="z74" w:id="71"/>
    <w:p>
      <w:pPr>
        <w:spacing w:after="0"/>
        <w:ind w:left="0"/>
        <w:jc w:val="both"/>
      </w:pPr>
      <w:r>
        <w:rPr>
          <w:rFonts w:ascii="Times New Roman"/>
          <w:b w:val="false"/>
          <w:i w:val="false"/>
          <w:color w:val="000000"/>
          <w:sz w:val="28"/>
        </w:rPr>
        <w:t>
      2) recommendations for the elimination of provisions identified during the public hearing that infringe or restrict the rights and legitimate interests of individuals and legal entities;</w:t>
      </w:r>
    </w:p>
    <w:bookmarkEnd w:id="71"/>
    <w:bookmarkStart w:name="z75" w:id="72"/>
    <w:p>
      <w:pPr>
        <w:spacing w:after="0"/>
        <w:ind w:left="0"/>
        <w:jc w:val="both"/>
      </w:pPr>
      <w:r>
        <w:rPr>
          <w:rFonts w:ascii="Times New Roman"/>
          <w:b w:val="false"/>
          <w:i w:val="false"/>
          <w:color w:val="000000"/>
          <w:sz w:val="28"/>
        </w:rPr>
        <w:t>
      3) proposals for amendments and additions to regulatory legal acts, internal documents of subjects of the quasi-public sector.</w:t>
      </w:r>
    </w:p>
    <w:bookmarkEnd w:id="72"/>
    <w:bookmarkStart w:name="z76" w:id="73"/>
    <w:p>
      <w:pPr>
        <w:spacing w:after="0"/>
        <w:ind w:left="0"/>
        <w:jc w:val="both"/>
      </w:pPr>
      <w:r>
        <w:rPr>
          <w:rFonts w:ascii="Times New Roman"/>
          <w:b w:val="false"/>
          <w:i w:val="false"/>
          <w:color w:val="000000"/>
          <w:sz w:val="28"/>
        </w:rPr>
        <w:t>
      17. Recommendations adopted on the basis of the final protocol, within a period of not more than ten working days shall be sent to:</w:t>
      </w:r>
    </w:p>
    <w:bookmarkEnd w:id="73"/>
    <w:bookmarkStart w:name="z77" w:id="74"/>
    <w:p>
      <w:pPr>
        <w:spacing w:after="0"/>
        <w:ind w:left="0"/>
        <w:jc w:val="both"/>
      </w:pPr>
      <w:r>
        <w:rPr>
          <w:rFonts w:ascii="Times New Roman"/>
          <w:b w:val="false"/>
          <w:i w:val="false"/>
          <w:color w:val="000000"/>
          <w:sz w:val="28"/>
        </w:rPr>
        <w:t>
      1) state bodies, subjects of the quasi-public sector, subjects of public control;</w:t>
      </w:r>
    </w:p>
    <w:bookmarkEnd w:id="74"/>
    <w:bookmarkStart w:name="z78" w:id="75"/>
    <w:p>
      <w:pPr>
        <w:spacing w:after="0"/>
        <w:ind w:left="0"/>
        <w:jc w:val="both"/>
      </w:pPr>
      <w:r>
        <w:rPr>
          <w:rFonts w:ascii="Times New Roman"/>
          <w:b w:val="false"/>
          <w:i w:val="false"/>
          <w:color w:val="000000"/>
          <w:sz w:val="28"/>
        </w:rPr>
        <w:t>
      2) state bodies authorized to carry out control over the activities of state bodies for studying and taking measures;</w:t>
      </w:r>
    </w:p>
    <w:bookmarkEnd w:id="75"/>
    <w:bookmarkStart w:name="z79" w:id="76"/>
    <w:p>
      <w:pPr>
        <w:spacing w:after="0"/>
        <w:ind w:left="0"/>
        <w:jc w:val="both"/>
      </w:pPr>
      <w:r>
        <w:rPr>
          <w:rFonts w:ascii="Times New Roman"/>
          <w:b w:val="false"/>
          <w:i w:val="false"/>
          <w:color w:val="000000"/>
          <w:sz w:val="28"/>
        </w:rPr>
        <w:t>
      3) the mass media.</w:t>
      </w:r>
    </w:p>
    <w:bookmarkEnd w:id="76"/>
    <w:bookmarkStart w:name="z80" w:id="77"/>
    <w:p>
      <w:pPr>
        <w:spacing w:after="0"/>
        <w:ind w:left="0"/>
        <w:jc w:val="left"/>
      </w:pPr>
      <w:r>
        <w:rPr>
          <w:rFonts w:ascii="Times New Roman"/>
          <w:b/>
          <w:i w:val="false"/>
          <w:color w:val="000000"/>
        </w:rPr>
        <w:t xml:space="preserve"> Paragraph 3. The procedure for organization and conduct of a public expertise</w:t>
      </w:r>
    </w:p>
    <w:bookmarkEnd w:id="77"/>
    <w:bookmarkStart w:name="z81" w:id="78"/>
    <w:p>
      <w:pPr>
        <w:spacing w:after="0"/>
        <w:ind w:left="0"/>
        <w:jc w:val="both"/>
      </w:pPr>
      <w:r>
        <w:rPr>
          <w:rFonts w:ascii="Times New Roman"/>
          <w:b w:val="false"/>
          <w:i w:val="false"/>
          <w:color w:val="000000"/>
          <w:sz w:val="28"/>
        </w:rPr>
        <w:t>
      18. The objects of public expertise are drafts of decisions taken by state bodies, subjects of the quasi-public sector for the observance of the rights and legitimate interests of individuals and legal entities, preservation of a favourable environment for the life and health of citizens, as well as the exclusion of factors that have a negative impact on ensuring the safety of individuals, settlements and industrial facilities.</w:t>
      </w:r>
    </w:p>
    <w:bookmarkEnd w:id="78"/>
    <w:bookmarkStart w:name="z82" w:id="79"/>
    <w:p>
      <w:pPr>
        <w:spacing w:after="0"/>
        <w:ind w:left="0"/>
        <w:jc w:val="both"/>
      </w:pPr>
      <w:r>
        <w:rPr>
          <w:rFonts w:ascii="Times New Roman"/>
          <w:b w:val="false"/>
          <w:i w:val="false"/>
          <w:color w:val="000000"/>
          <w:sz w:val="28"/>
        </w:rPr>
        <w:t>
      19. Public expertise shall be carried out on behalf of the Public council, adopted at its meeting, by expert commissions created by public associations.</w:t>
      </w:r>
    </w:p>
    <w:bookmarkEnd w:id="79"/>
    <w:bookmarkStart w:name="z83" w:id="80"/>
    <w:p>
      <w:pPr>
        <w:spacing w:after="0"/>
        <w:ind w:left="0"/>
        <w:jc w:val="both"/>
      </w:pPr>
      <w:r>
        <w:rPr>
          <w:rFonts w:ascii="Times New Roman"/>
          <w:b w:val="false"/>
          <w:i w:val="false"/>
          <w:color w:val="000000"/>
          <w:sz w:val="28"/>
        </w:rPr>
        <w:t>
      20. The initiators of the public expertise are individuals and (or) non-profit organizations, with the exception of structural subdivisions (branches and representative offices) of international and foreign organizations, which send a corresponding petition to the Public council.</w:t>
      </w:r>
    </w:p>
    <w:bookmarkEnd w:id="80"/>
    <w:bookmarkStart w:name="z84" w:id="81"/>
    <w:p>
      <w:pPr>
        <w:spacing w:after="0"/>
        <w:ind w:left="0"/>
        <w:jc w:val="both"/>
      </w:pPr>
      <w:r>
        <w:rPr>
          <w:rFonts w:ascii="Times New Roman"/>
          <w:b w:val="false"/>
          <w:i w:val="false"/>
          <w:color w:val="000000"/>
          <w:sz w:val="28"/>
        </w:rPr>
        <w:t>
      21. The initiators of the public expertise shall send a petition to the relevant Public council for the conduct of public expertise.</w:t>
      </w:r>
    </w:p>
    <w:bookmarkEnd w:id="81"/>
    <w:bookmarkStart w:name="z85" w:id="82"/>
    <w:p>
      <w:pPr>
        <w:spacing w:after="0"/>
        <w:ind w:left="0"/>
        <w:jc w:val="both"/>
      </w:pPr>
      <w:r>
        <w:rPr>
          <w:rFonts w:ascii="Times New Roman"/>
          <w:b w:val="false"/>
          <w:i w:val="false"/>
          <w:color w:val="000000"/>
          <w:sz w:val="28"/>
        </w:rPr>
        <w:t>
      22. The Public council shall consider a petition for a public expertise and send a notification (an extract from the protocol) of the decision made to the initiator of public expertise. When a negative decision is made, a reasoned refusal shall be sent to the initiator.</w:t>
      </w:r>
    </w:p>
    <w:bookmarkEnd w:id="82"/>
    <w:bookmarkStart w:name="z86" w:id="83"/>
    <w:p>
      <w:pPr>
        <w:spacing w:after="0"/>
        <w:ind w:left="0"/>
        <w:jc w:val="both"/>
      </w:pPr>
      <w:r>
        <w:rPr>
          <w:rFonts w:ascii="Times New Roman"/>
          <w:b w:val="false"/>
          <w:i w:val="false"/>
          <w:color w:val="000000"/>
          <w:sz w:val="28"/>
        </w:rPr>
        <w:t>
      23. To conduct a public expertise, a public association shall create an expert commission on behalf of the Public council, which is created for the period of public expertise.</w:t>
      </w:r>
    </w:p>
    <w:bookmarkEnd w:id="83"/>
    <w:bookmarkStart w:name="z87" w:id="84"/>
    <w:p>
      <w:pPr>
        <w:spacing w:after="0"/>
        <w:ind w:left="0"/>
        <w:jc w:val="both"/>
      </w:pPr>
      <w:r>
        <w:rPr>
          <w:rFonts w:ascii="Times New Roman"/>
          <w:b w:val="false"/>
          <w:i w:val="false"/>
          <w:color w:val="000000"/>
          <w:sz w:val="28"/>
        </w:rPr>
        <w:t>
      24. The head of the expert commission (hereinafter - the head) shall be appointed and a plan for conducting a public expertise shall be formed at the first meeting of the expert commission, which shall be posted on the Internet resources of a state body, local representative body, subject of the quasi-public sector.</w:t>
      </w:r>
    </w:p>
    <w:bookmarkEnd w:id="84"/>
    <w:bookmarkStart w:name="z88" w:id="85"/>
    <w:p>
      <w:pPr>
        <w:spacing w:after="0"/>
        <w:ind w:left="0"/>
        <w:jc w:val="both"/>
      </w:pPr>
      <w:r>
        <w:rPr>
          <w:rFonts w:ascii="Times New Roman"/>
          <w:b w:val="false"/>
          <w:i w:val="false"/>
          <w:color w:val="000000"/>
          <w:sz w:val="28"/>
        </w:rPr>
        <w:t>
      25. The head distributes the functions of members of the expert commission for conducting public expertise, ensures their interaction, informs about the documents and materials received, controls the timing of implementation of individual activities and the plan as a whole.</w:t>
      </w:r>
    </w:p>
    <w:bookmarkEnd w:id="85"/>
    <w:bookmarkStart w:name="z89" w:id="86"/>
    <w:p>
      <w:pPr>
        <w:spacing w:after="0"/>
        <w:ind w:left="0"/>
        <w:jc w:val="both"/>
      </w:pPr>
      <w:r>
        <w:rPr>
          <w:rFonts w:ascii="Times New Roman"/>
          <w:b w:val="false"/>
          <w:i w:val="false"/>
          <w:color w:val="000000"/>
          <w:sz w:val="28"/>
        </w:rPr>
        <w:t>
      26. The Public council organizes informing of state bodies and other organizations, subjects of the quasi-public sector about the conduct of a public expertise.</w:t>
      </w:r>
    </w:p>
    <w:bookmarkEnd w:id="86"/>
    <w:bookmarkStart w:name="z90" w:id="87"/>
    <w:p>
      <w:pPr>
        <w:spacing w:after="0"/>
        <w:ind w:left="0"/>
        <w:jc w:val="both"/>
      </w:pPr>
      <w:r>
        <w:rPr>
          <w:rFonts w:ascii="Times New Roman"/>
          <w:b w:val="false"/>
          <w:i w:val="false"/>
          <w:color w:val="000000"/>
          <w:sz w:val="28"/>
        </w:rPr>
        <w:t>
      27. In accordance with the plan for conducting a public expertise, the head shall send requests on the provision of necessary documents and materials to the relevant state bodies, local state bodies, subjects of the quasi-public sector.</w:t>
      </w:r>
    </w:p>
    <w:bookmarkEnd w:id="87"/>
    <w:bookmarkStart w:name="z91" w:id="88"/>
    <w:p>
      <w:pPr>
        <w:spacing w:after="0"/>
        <w:ind w:left="0"/>
        <w:jc w:val="both"/>
      </w:pPr>
      <w:r>
        <w:rPr>
          <w:rFonts w:ascii="Times New Roman"/>
          <w:b w:val="false"/>
          <w:i w:val="false"/>
          <w:color w:val="000000"/>
          <w:sz w:val="28"/>
        </w:rPr>
        <w:t>
      28. Meetings of the expert commission shall be held according to the approved plan. The head notifies about the venue and time of the meeting, the agenda, and also prepares necessary materials for the meeting.</w:t>
      </w:r>
    </w:p>
    <w:bookmarkEnd w:id="88"/>
    <w:bookmarkStart w:name="z92" w:id="89"/>
    <w:p>
      <w:pPr>
        <w:spacing w:after="0"/>
        <w:ind w:left="0"/>
        <w:jc w:val="both"/>
      </w:pPr>
      <w:r>
        <w:rPr>
          <w:rFonts w:ascii="Times New Roman"/>
          <w:b w:val="false"/>
          <w:i w:val="false"/>
          <w:color w:val="000000"/>
          <w:sz w:val="28"/>
        </w:rPr>
        <w:t>
      29. The meeting of the expert commission shall be considered competent in the presence of more than half of members of the total number of its members.</w:t>
      </w:r>
    </w:p>
    <w:bookmarkEnd w:id="89"/>
    <w:bookmarkStart w:name="z93" w:id="90"/>
    <w:p>
      <w:pPr>
        <w:spacing w:after="0"/>
        <w:ind w:left="0"/>
        <w:jc w:val="both"/>
      </w:pPr>
      <w:r>
        <w:rPr>
          <w:rFonts w:ascii="Times New Roman"/>
          <w:b w:val="false"/>
          <w:i w:val="false"/>
          <w:color w:val="000000"/>
          <w:sz w:val="28"/>
        </w:rPr>
        <w:t>
      30. In the absence of the head of the expert commission, the meeting shall be held by a member of the expert commission authorized by the decision of the Chairman of the Public council.</w:t>
      </w:r>
    </w:p>
    <w:bookmarkEnd w:id="90"/>
    <w:bookmarkStart w:name="z94" w:id="91"/>
    <w:p>
      <w:pPr>
        <w:spacing w:after="0"/>
        <w:ind w:left="0"/>
        <w:jc w:val="both"/>
      </w:pPr>
      <w:r>
        <w:rPr>
          <w:rFonts w:ascii="Times New Roman"/>
          <w:b w:val="false"/>
          <w:i w:val="false"/>
          <w:color w:val="000000"/>
          <w:sz w:val="28"/>
        </w:rPr>
        <w:t>
      31. The decision of the expert commission shall be made by a majority vote of the total number of its members present at the meeting.</w:t>
      </w:r>
    </w:p>
    <w:bookmarkEnd w:id="91"/>
    <w:bookmarkStart w:name="z95" w:id="92"/>
    <w:p>
      <w:pPr>
        <w:spacing w:after="0"/>
        <w:ind w:left="0"/>
        <w:jc w:val="both"/>
      </w:pPr>
      <w:r>
        <w:rPr>
          <w:rFonts w:ascii="Times New Roman"/>
          <w:b w:val="false"/>
          <w:i w:val="false"/>
          <w:color w:val="000000"/>
          <w:sz w:val="28"/>
        </w:rPr>
        <w:t>
      32. Members of the Public council shall take part in the meetings of the expert commission.</w:t>
      </w:r>
    </w:p>
    <w:bookmarkEnd w:id="92"/>
    <w:bookmarkStart w:name="z96" w:id="93"/>
    <w:p>
      <w:pPr>
        <w:spacing w:after="0"/>
        <w:ind w:left="0"/>
        <w:jc w:val="both"/>
      </w:pPr>
      <w:r>
        <w:rPr>
          <w:rFonts w:ascii="Times New Roman"/>
          <w:b w:val="false"/>
          <w:i w:val="false"/>
          <w:color w:val="000000"/>
          <w:sz w:val="28"/>
        </w:rPr>
        <w:t>
      33. Representatives of state bodies, local state bodies, subjects of the quasi-public sector, as well as representatives of non-profit organizations and other persons shall be present at the meeting of the expert commission at the invitation of the head.</w:t>
      </w:r>
    </w:p>
    <w:bookmarkEnd w:id="93"/>
    <w:bookmarkStart w:name="z97" w:id="94"/>
    <w:p>
      <w:pPr>
        <w:spacing w:after="0"/>
        <w:ind w:left="0"/>
        <w:jc w:val="both"/>
      </w:pPr>
      <w:r>
        <w:rPr>
          <w:rFonts w:ascii="Times New Roman"/>
          <w:b w:val="false"/>
          <w:i w:val="false"/>
          <w:color w:val="000000"/>
          <w:sz w:val="28"/>
        </w:rPr>
        <w:t>
      34. Based on the results of meeting of the expert commission, a protocol shall be drawn up, which is signed by the head of the expert commission or a person authorized by the head.</w:t>
      </w:r>
    </w:p>
    <w:bookmarkEnd w:id="94"/>
    <w:bookmarkStart w:name="z98" w:id="95"/>
    <w:p>
      <w:pPr>
        <w:spacing w:after="0"/>
        <w:ind w:left="0"/>
        <w:jc w:val="both"/>
      </w:pPr>
      <w:r>
        <w:rPr>
          <w:rFonts w:ascii="Times New Roman"/>
          <w:b w:val="false"/>
          <w:i w:val="false"/>
          <w:color w:val="000000"/>
          <w:sz w:val="28"/>
        </w:rPr>
        <w:t>
      35. On the basis of the work, the expert commission prepares a draft conclusion based on the results of the public expertise.</w:t>
      </w:r>
    </w:p>
    <w:bookmarkEnd w:id="95"/>
    <w:bookmarkStart w:name="z99" w:id="96"/>
    <w:p>
      <w:pPr>
        <w:spacing w:after="0"/>
        <w:ind w:left="0"/>
        <w:jc w:val="both"/>
      </w:pPr>
      <w:r>
        <w:rPr>
          <w:rFonts w:ascii="Times New Roman"/>
          <w:b w:val="false"/>
          <w:i w:val="false"/>
          <w:color w:val="000000"/>
          <w:sz w:val="28"/>
        </w:rPr>
        <w:t>
      36. The draft conclusion based on the results of the public expertise shall be signed by the head and members of the expert commission.</w:t>
      </w:r>
    </w:p>
    <w:bookmarkEnd w:id="96"/>
    <w:bookmarkStart w:name="z100" w:id="97"/>
    <w:p>
      <w:pPr>
        <w:spacing w:after="0"/>
        <w:ind w:left="0"/>
        <w:jc w:val="both"/>
      </w:pPr>
      <w:r>
        <w:rPr>
          <w:rFonts w:ascii="Times New Roman"/>
          <w:b w:val="false"/>
          <w:i w:val="false"/>
          <w:color w:val="000000"/>
          <w:sz w:val="28"/>
        </w:rPr>
        <w:t>
      37. The prepared draft conclusion shall be submitted by the expert commission to the Public council for consideration.</w:t>
      </w:r>
    </w:p>
    <w:bookmarkEnd w:id="97"/>
    <w:bookmarkStart w:name="z101" w:id="98"/>
    <w:p>
      <w:pPr>
        <w:spacing w:after="0"/>
        <w:ind w:left="0"/>
        <w:jc w:val="both"/>
      </w:pPr>
      <w:r>
        <w:rPr>
          <w:rFonts w:ascii="Times New Roman"/>
          <w:b w:val="false"/>
          <w:i w:val="false"/>
          <w:color w:val="000000"/>
          <w:sz w:val="28"/>
        </w:rPr>
        <w:t>
      38. The Public council shall make a decision by open voting by a majority of votes on approval or disapproval of the draft conclusion.</w:t>
      </w:r>
    </w:p>
    <w:bookmarkEnd w:id="98"/>
    <w:bookmarkStart w:name="z102" w:id="99"/>
    <w:p>
      <w:pPr>
        <w:spacing w:after="0"/>
        <w:ind w:left="0"/>
        <w:jc w:val="both"/>
      </w:pPr>
      <w:r>
        <w:rPr>
          <w:rFonts w:ascii="Times New Roman"/>
          <w:b w:val="false"/>
          <w:i w:val="false"/>
          <w:color w:val="000000"/>
          <w:sz w:val="28"/>
        </w:rPr>
        <w:t>
      The approved draft conclusion shall be sent to the interested state bodies, subjects of the quasi-public sector within no more than ten working days.</w:t>
      </w:r>
    </w:p>
    <w:bookmarkEnd w:id="99"/>
    <w:bookmarkStart w:name="z103" w:id="100"/>
    <w:p>
      <w:pPr>
        <w:spacing w:after="0"/>
        <w:ind w:left="0"/>
        <w:jc w:val="left"/>
      </w:pPr>
      <w:r>
        <w:rPr>
          <w:rFonts w:ascii="Times New Roman"/>
          <w:b/>
          <w:i w:val="false"/>
          <w:color w:val="000000"/>
        </w:rPr>
        <w:t xml:space="preserve"> Paragraph 4. The procedure for organization and conduct of hearing reports on the results of work</w:t>
      </w:r>
    </w:p>
    <w:bookmarkEnd w:id="100"/>
    <w:bookmarkStart w:name="z104" w:id="101"/>
    <w:p>
      <w:pPr>
        <w:spacing w:after="0"/>
        <w:ind w:left="0"/>
        <w:jc w:val="both"/>
      </w:pPr>
      <w:r>
        <w:rPr>
          <w:rFonts w:ascii="Times New Roman"/>
          <w:b w:val="false"/>
          <w:i w:val="false"/>
          <w:color w:val="000000"/>
          <w:sz w:val="28"/>
        </w:rPr>
        <w:t>
      39. The hearing includes the report of the first head of the state body of the republican level, the head of the executive body of the quasi–public sector entity and the co-report of the chairman of the Public Council, and in the territories - the report of the akim of the administrative-territorial unit and the co-reports of the chairman of the maslikhat, the chairman of the Public Council in accordance with the powers provided for in paragraph 4 of Article 18 of the Law.</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Information and Public Development of the Republic of Kazakhstan dated 12.01.2023 № 18 (effective ten calendar days after the date of its first official publication).</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40. During the hearing of the report on the results of work, a protocol shall be kept, which records:</w:t>
      </w:r>
    </w:p>
    <w:bookmarkEnd w:id="102"/>
    <w:bookmarkStart w:name="z106" w:id="103"/>
    <w:p>
      <w:pPr>
        <w:spacing w:after="0"/>
        <w:ind w:left="0"/>
        <w:jc w:val="both"/>
      </w:pPr>
      <w:r>
        <w:rPr>
          <w:rFonts w:ascii="Times New Roman"/>
          <w:b w:val="false"/>
          <w:i w:val="false"/>
          <w:color w:val="000000"/>
          <w:sz w:val="28"/>
        </w:rPr>
        <w:t xml:space="preserve">
      1) the date and place of the report hearing of; </w:t>
      </w:r>
    </w:p>
    <w:bookmarkEnd w:id="103"/>
    <w:bookmarkStart w:name="z107" w:id="104"/>
    <w:p>
      <w:pPr>
        <w:spacing w:after="0"/>
        <w:ind w:left="0"/>
        <w:jc w:val="both"/>
      </w:pPr>
      <w:r>
        <w:rPr>
          <w:rFonts w:ascii="Times New Roman"/>
          <w:b w:val="false"/>
          <w:i w:val="false"/>
          <w:color w:val="000000"/>
          <w:sz w:val="28"/>
        </w:rPr>
        <w:t>
      2) the number of people present;</w:t>
      </w:r>
    </w:p>
    <w:bookmarkEnd w:id="104"/>
    <w:bookmarkStart w:name="z108" w:id="105"/>
    <w:p>
      <w:pPr>
        <w:spacing w:after="0"/>
        <w:ind w:left="0"/>
        <w:jc w:val="both"/>
      </w:pPr>
      <w:r>
        <w:rPr>
          <w:rFonts w:ascii="Times New Roman"/>
          <w:b w:val="false"/>
          <w:i w:val="false"/>
          <w:color w:val="000000"/>
          <w:sz w:val="28"/>
        </w:rPr>
        <w:t>
      3) surname, name, patronymic (if any) of the officials who spoke;</w:t>
      </w:r>
    </w:p>
    <w:bookmarkEnd w:id="105"/>
    <w:bookmarkStart w:name="z109" w:id="106"/>
    <w:p>
      <w:pPr>
        <w:spacing w:after="0"/>
        <w:ind w:left="0"/>
        <w:jc w:val="both"/>
      </w:pPr>
      <w:r>
        <w:rPr>
          <w:rFonts w:ascii="Times New Roman"/>
          <w:b w:val="false"/>
          <w:i w:val="false"/>
          <w:color w:val="000000"/>
          <w:sz w:val="28"/>
        </w:rPr>
        <w:t>
      4) agenda, content of the report and speeches.</w:t>
      </w:r>
    </w:p>
    <w:bookmarkEnd w:id="106"/>
    <w:bookmarkStart w:name="z110" w:id="107"/>
    <w:p>
      <w:pPr>
        <w:spacing w:after="0"/>
        <w:ind w:left="0"/>
        <w:jc w:val="both"/>
      </w:pPr>
      <w:r>
        <w:rPr>
          <w:rFonts w:ascii="Times New Roman"/>
          <w:b w:val="false"/>
          <w:i w:val="false"/>
          <w:color w:val="000000"/>
          <w:sz w:val="28"/>
        </w:rPr>
        <w:t>
      41. Based on the results of the report hearing, a resolution shall be adopted that contains:</w:t>
      </w:r>
    </w:p>
    <w:bookmarkEnd w:id="107"/>
    <w:bookmarkStart w:name="z111" w:id="108"/>
    <w:p>
      <w:pPr>
        <w:spacing w:after="0"/>
        <w:ind w:left="0"/>
        <w:jc w:val="both"/>
      </w:pPr>
      <w:r>
        <w:rPr>
          <w:rFonts w:ascii="Times New Roman"/>
          <w:b w:val="false"/>
          <w:i w:val="false"/>
          <w:color w:val="000000"/>
          <w:sz w:val="28"/>
        </w:rPr>
        <w:t>
      1) assessment of the activities of controlled bodies and their officials on the issues within their competence;</w:t>
      </w:r>
    </w:p>
    <w:bookmarkEnd w:id="108"/>
    <w:bookmarkStart w:name="z112" w:id="109"/>
    <w:p>
      <w:pPr>
        <w:spacing w:after="0"/>
        <w:ind w:left="0"/>
        <w:jc w:val="both"/>
      </w:pPr>
      <w:r>
        <w:rPr>
          <w:rFonts w:ascii="Times New Roman"/>
          <w:b w:val="false"/>
          <w:i w:val="false"/>
          <w:color w:val="000000"/>
          <w:sz w:val="28"/>
        </w:rPr>
        <w:t>
      2) recommendations for elimination of provisions identified during the report hearing that infringe or restrict the rights and legitimate interests of individuals and legal entities;</w:t>
      </w:r>
    </w:p>
    <w:bookmarkEnd w:id="109"/>
    <w:bookmarkStart w:name="z113" w:id="110"/>
    <w:p>
      <w:pPr>
        <w:spacing w:after="0"/>
        <w:ind w:left="0"/>
        <w:jc w:val="both"/>
      </w:pPr>
      <w:r>
        <w:rPr>
          <w:rFonts w:ascii="Times New Roman"/>
          <w:b w:val="false"/>
          <w:i w:val="false"/>
          <w:color w:val="000000"/>
          <w:sz w:val="28"/>
        </w:rPr>
        <w:t>
      3) proposals for improving the activities of state bodies, subjects of the quasi-public sector.</w:t>
      </w:r>
    </w:p>
    <w:bookmarkEnd w:id="110"/>
    <w:bookmarkStart w:name="z114" w:id="111"/>
    <w:p>
      <w:pPr>
        <w:spacing w:after="0"/>
        <w:ind w:left="0"/>
        <w:jc w:val="both"/>
      </w:pPr>
      <w:r>
        <w:rPr>
          <w:rFonts w:ascii="Times New Roman"/>
          <w:b w:val="false"/>
          <w:i w:val="false"/>
          <w:color w:val="000000"/>
          <w:sz w:val="28"/>
        </w:rPr>
        <w:t>
      42. An open vote of members of the Public council shall be held at a meeting of the Public council, following the results of report hearing on the results of work of a state body.</w:t>
      </w:r>
    </w:p>
    <w:bookmarkEnd w:id="111"/>
    <w:bookmarkStart w:name="z115" w:id="112"/>
    <w:p>
      <w:pPr>
        <w:spacing w:after="0"/>
        <w:ind w:left="0"/>
        <w:jc w:val="both"/>
      </w:pPr>
      <w:r>
        <w:rPr>
          <w:rFonts w:ascii="Times New Roman"/>
          <w:b w:val="false"/>
          <w:i w:val="false"/>
          <w:color w:val="000000"/>
          <w:sz w:val="28"/>
        </w:rPr>
        <w:t>
      43. If more than half of the present members of the Public council vote, the report shall be considered adopted.</w:t>
      </w:r>
    </w:p>
    <w:bookmarkEnd w:id="112"/>
    <w:bookmarkStart w:name="z116" w:id="113"/>
    <w:p>
      <w:pPr>
        <w:spacing w:after="0"/>
        <w:ind w:left="0"/>
        <w:jc w:val="both"/>
      </w:pPr>
      <w:r>
        <w:rPr>
          <w:rFonts w:ascii="Times New Roman"/>
          <w:b w:val="false"/>
          <w:i w:val="false"/>
          <w:color w:val="000000"/>
          <w:sz w:val="28"/>
        </w:rPr>
        <w:t>
      The approved report on the results of work shall be published on the Internet resources of a state body, a subject of the quasi-public sector, the local representative body.</w:t>
      </w:r>
    </w:p>
    <w:bookmarkEnd w:id="113"/>
    <w:bookmarkStart w:name="z117" w:id="114"/>
    <w:p>
      <w:pPr>
        <w:spacing w:after="0"/>
        <w:ind w:left="0"/>
        <w:jc w:val="both"/>
      </w:pPr>
      <w:r>
        <w:rPr>
          <w:rFonts w:ascii="Times New Roman"/>
          <w:b w:val="false"/>
          <w:i w:val="false"/>
          <w:color w:val="000000"/>
          <w:sz w:val="28"/>
        </w:rPr>
        <w:t>
      44. If the Public council does not accept a report on the results of the work, the Public council shall notify the relevant state body, a subject of the quasi-public sector of the decision taken with the direction of recommendations prepared within the powers of the public councils.</w:t>
      </w:r>
    </w:p>
    <w:bookmarkEnd w:id="114"/>
    <w:bookmarkStart w:name="z118" w:id="115"/>
    <w:p>
      <w:pPr>
        <w:spacing w:after="0"/>
        <w:ind w:left="0"/>
        <w:jc w:val="both"/>
      </w:pPr>
      <w:r>
        <w:rPr>
          <w:rFonts w:ascii="Times New Roman"/>
          <w:b w:val="false"/>
          <w:i w:val="false"/>
          <w:color w:val="000000"/>
          <w:sz w:val="28"/>
        </w:rPr>
        <w:t>
      45. Public councils shall initiate the issue of re-hearing the report on the results of work of a state body, a subject of the quasi-public sector in case the Public council does not accept the report on the results of work.</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