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09e6" w14:textId="99b0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forming price information used when controlling the customs value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April 29, 2021 No. 414. Registered with the Ministry of Justice of the Republic of Kazakhstan on April 30, 2021 No. 22669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subclause 4) of clause 5 of Article 452 of the Code of the Republic of Kazakhstan “On customs regulation in the Republic of Kazakhstan”,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Methodology for forming price information used when controlling the customs value of goods, according to the Appendix to this order.</w:t>
      </w:r>
    </w:p>
    <w:bookmarkEnd w:id="1"/>
    <w:bookmarkStart w:name="z2" w:id="2"/>
    <w:p>
      <w:pPr>
        <w:spacing w:after="0"/>
        <w:ind w:left="0"/>
        <w:jc w:val="both"/>
      </w:pPr>
      <w:r>
        <w:rPr>
          <w:rFonts w:ascii="Times New Roman"/>
          <w:b w:val="false"/>
          <w:i w:val="false"/>
          <w:color w:val="000000"/>
          <w:sz w:val="28"/>
        </w:rPr>
        <w:t>
      2. The State Revenue Committee of the Ministry of Finance of the Republic of Kazakhstan in accordance with the procedure, established by the legislation of the Republic of Kazakhstan, shall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Finance of the Republic of Kazakhstan;</w:t>
      </w:r>
    </w:p>
    <w:p>
      <w:pPr>
        <w:spacing w:after="0"/>
        <w:ind w:left="0"/>
        <w:jc w:val="both"/>
      </w:pPr>
      <w:r>
        <w:rPr>
          <w:rFonts w:ascii="Times New Roman"/>
          <w:b w:val="false"/>
          <w:i w:val="false"/>
          <w:color w:val="000000"/>
          <w:sz w:val="28"/>
        </w:rPr>
        <w:t>
      3) within ten working days after the state registration of this order with the Ministry of Justice, submission to the Department of Legal Service of the Ministry of Finance of the Republic of Kazakhstan of information about execution of measures, stipulated by subclauses 1) and 2) of this clause.</w:t>
      </w:r>
    </w:p>
    <w:bookmarkStart w:name="z3" w:id="3"/>
    <w:p>
      <w:pPr>
        <w:spacing w:after="0"/>
        <w:ind w:left="0"/>
        <w:jc w:val="both"/>
      </w:pPr>
      <w:r>
        <w:rPr>
          <w:rFonts w:ascii="Times New Roman"/>
          <w:b w:val="false"/>
          <w:i w:val="false"/>
          <w:color w:val="000000"/>
          <w:sz w:val="28"/>
        </w:rPr>
        <w:t>
      3. Control over execution of this order shall be entrusted to the supervising Vice Minister of Finance of the Republic of Kazakhstan.</w:t>
      </w:r>
    </w:p>
    <w:bookmarkEnd w:id="3"/>
    <w:bookmarkStart w:name="z4" w:id="4"/>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Zhamaubayev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Order of the </w:t>
            </w:r>
            <w:r>
              <w:br/>
            </w:r>
            <w:r>
              <w:rPr>
                <w:rFonts w:ascii="Times New Roman"/>
                <w:b w:val="false"/>
                <w:i w:val="false"/>
                <w:color w:val="000000"/>
                <w:sz w:val="20"/>
              </w:rPr>
              <w:t>Minister of Finance dated</w:t>
            </w:r>
            <w:r>
              <w:br/>
            </w:r>
            <w:r>
              <w:rPr>
                <w:rFonts w:ascii="Times New Roman"/>
                <w:b w:val="false"/>
                <w:i w:val="false"/>
                <w:color w:val="000000"/>
                <w:sz w:val="20"/>
              </w:rPr>
              <w:t>of the Republic of Kazakhstan</w:t>
            </w:r>
            <w:r>
              <w:br/>
            </w:r>
            <w:r>
              <w:rPr>
                <w:rFonts w:ascii="Times New Roman"/>
                <w:b w:val="false"/>
                <w:i w:val="false"/>
                <w:color w:val="000000"/>
                <w:sz w:val="20"/>
              </w:rPr>
              <w:t>dated April 29, 2021 No. 414</w:t>
            </w:r>
          </w:p>
        </w:tc>
      </w:tr>
    </w:tbl>
    <w:bookmarkStart w:name="z6" w:id="5"/>
    <w:p>
      <w:pPr>
        <w:spacing w:after="0"/>
        <w:ind w:left="0"/>
        <w:jc w:val="left"/>
      </w:pPr>
      <w:r>
        <w:rPr>
          <w:rFonts w:ascii="Times New Roman"/>
          <w:b/>
          <w:i w:val="false"/>
          <w:color w:val="000000"/>
        </w:rPr>
        <w:t xml:space="preserve"> Methodology </w:t>
      </w:r>
      <w:r>
        <w:br/>
      </w:r>
      <w:r>
        <w:rPr>
          <w:rFonts w:ascii="Times New Roman"/>
          <w:b/>
          <w:i w:val="false"/>
          <w:color w:val="000000"/>
        </w:rPr>
        <w:t>for forming price information used when controlling the customs value of goods</w:t>
      </w:r>
    </w:p>
    <w:bookmarkEnd w:id="5"/>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1. This Methodology for forming price information used when controlling the customs value of goods (hereinafter referred to as the Methodology) have been developed for the purposes of forming price information using the database of electronic copies of goods declarations and its application by the territorial state revenue bodies when controlling the customs value of goods.</w:t>
      </w:r>
    </w:p>
    <w:bookmarkEnd w:id="7"/>
    <w:bookmarkStart w:name="z9" w:id="8"/>
    <w:p>
      <w:pPr>
        <w:spacing w:after="0"/>
        <w:ind w:left="0"/>
        <w:jc w:val="both"/>
      </w:pPr>
      <w:r>
        <w:rPr>
          <w:rFonts w:ascii="Times New Roman"/>
          <w:b w:val="false"/>
          <w:i w:val="false"/>
          <w:color w:val="000000"/>
          <w:sz w:val="28"/>
        </w:rPr>
        <w:t>
      2. The price information is used when calculating the amount of security for the payment of customs duties and taxes, as well as when adjusting the customs value of goods.</w:t>
      </w:r>
    </w:p>
    <w:bookmarkEnd w:id="8"/>
    <w:bookmarkStart w:name="z10" w:id="9"/>
    <w:p>
      <w:pPr>
        <w:spacing w:after="0"/>
        <w:ind w:left="0"/>
        <w:jc w:val="both"/>
      </w:pPr>
      <w:r>
        <w:rPr>
          <w:rFonts w:ascii="Times New Roman"/>
          <w:b w:val="false"/>
          <w:i w:val="false"/>
          <w:color w:val="000000"/>
          <w:sz w:val="28"/>
        </w:rPr>
        <w:t>
      3. The price information is not a confidential information and shall be published 1 (once) a month on the official website of the State Revenue Committee of the Ministry of Finance of the Republic of Kazakhstan as risk indicators are updated.</w:t>
      </w:r>
    </w:p>
    <w:bookmarkEnd w:id="9"/>
    <w:bookmarkStart w:name="z11" w:id="10"/>
    <w:p>
      <w:pPr>
        <w:spacing w:after="0"/>
        <w:ind w:left="0"/>
        <w:jc w:val="left"/>
      </w:pPr>
      <w:r>
        <w:rPr>
          <w:rFonts w:ascii="Times New Roman"/>
          <w:b/>
          <w:i w:val="false"/>
          <w:color w:val="000000"/>
        </w:rPr>
        <w:t xml:space="preserve"> Chapter 2. Procedure for forming price information used when controlling the customs value of goods</w:t>
      </w:r>
    </w:p>
    <w:bookmarkEnd w:id="10"/>
    <w:bookmarkStart w:name="z12" w:id="11"/>
    <w:p>
      <w:pPr>
        <w:spacing w:after="0"/>
        <w:ind w:left="0"/>
        <w:jc w:val="both"/>
      </w:pPr>
      <w:r>
        <w:rPr>
          <w:rFonts w:ascii="Times New Roman"/>
          <w:b w:val="false"/>
          <w:i w:val="false"/>
          <w:color w:val="000000"/>
          <w:sz w:val="28"/>
        </w:rPr>
        <w:t>
      4. The price information shall be formed on the basis of analysis of the database of electronic copies of goods declarations (hereinafter referred to as the GD) of the Republic of Kazakhstan and the database of electronic copies of GD, directed within the framework of information exchange between the member states of the Eurasian Economic Union (hereinafter referred to as the EAEU).</w:t>
      </w:r>
    </w:p>
    <w:bookmarkEnd w:id="11"/>
    <w:bookmarkStart w:name="z13" w:id="12"/>
    <w:p>
      <w:pPr>
        <w:spacing w:after="0"/>
        <w:ind w:left="0"/>
        <w:jc w:val="both"/>
      </w:pPr>
      <w:r>
        <w:rPr>
          <w:rFonts w:ascii="Times New Roman"/>
          <w:b w:val="false"/>
          <w:i w:val="false"/>
          <w:color w:val="000000"/>
          <w:sz w:val="28"/>
        </w:rPr>
        <w:t>
      5. When forming the price information, the following information shall be used:</w:t>
      </w:r>
    </w:p>
    <w:bookmarkEnd w:id="12"/>
    <w:p>
      <w:pPr>
        <w:spacing w:after="0"/>
        <w:ind w:left="0"/>
        <w:jc w:val="both"/>
      </w:pPr>
      <w:r>
        <w:rPr>
          <w:rFonts w:ascii="Times New Roman"/>
          <w:b w:val="false"/>
          <w:i w:val="false"/>
          <w:color w:val="000000"/>
          <w:sz w:val="28"/>
        </w:rPr>
        <w:t>
      1) customs procedure release for domestic consumption;</w:t>
      </w:r>
    </w:p>
    <w:p>
      <w:pPr>
        <w:spacing w:after="0"/>
        <w:ind w:left="0"/>
        <w:jc w:val="both"/>
      </w:pPr>
      <w:r>
        <w:rPr>
          <w:rFonts w:ascii="Times New Roman"/>
          <w:b w:val="false"/>
          <w:i w:val="false"/>
          <w:color w:val="000000"/>
          <w:sz w:val="28"/>
        </w:rPr>
        <w:t>
      2) ten-digit product code in accordance with the Foreign Economic Activity Commodity nomenclature (hereinafter referred to as the FEACN EAEU);</w:t>
      </w:r>
    </w:p>
    <w:p>
      <w:pPr>
        <w:spacing w:after="0"/>
        <w:ind w:left="0"/>
        <w:jc w:val="both"/>
      </w:pPr>
      <w:r>
        <w:rPr>
          <w:rFonts w:ascii="Times New Roman"/>
          <w:b w:val="false"/>
          <w:i w:val="false"/>
          <w:color w:val="000000"/>
          <w:sz w:val="28"/>
        </w:rPr>
        <w:t>
      3) country of origin;</w:t>
      </w:r>
    </w:p>
    <w:p>
      <w:pPr>
        <w:spacing w:after="0"/>
        <w:ind w:left="0"/>
        <w:jc w:val="both"/>
      </w:pPr>
      <w:r>
        <w:rPr>
          <w:rFonts w:ascii="Times New Roman"/>
          <w:b w:val="false"/>
          <w:i w:val="false"/>
          <w:color w:val="000000"/>
          <w:sz w:val="28"/>
        </w:rPr>
        <w:t>
      4) volume of import of goods;</w:t>
      </w:r>
    </w:p>
    <w:p>
      <w:pPr>
        <w:spacing w:after="0"/>
        <w:ind w:left="0"/>
        <w:jc w:val="both"/>
      </w:pPr>
      <w:r>
        <w:rPr>
          <w:rFonts w:ascii="Times New Roman"/>
          <w:b w:val="false"/>
          <w:i w:val="false"/>
          <w:color w:val="000000"/>
          <w:sz w:val="28"/>
        </w:rPr>
        <w:t>
      5) date of import of goods;</w:t>
      </w:r>
    </w:p>
    <w:p>
      <w:pPr>
        <w:spacing w:after="0"/>
        <w:ind w:left="0"/>
        <w:jc w:val="both"/>
      </w:pPr>
      <w:r>
        <w:rPr>
          <w:rFonts w:ascii="Times New Roman"/>
          <w:b w:val="false"/>
          <w:i w:val="false"/>
          <w:color w:val="000000"/>
          <w:sz w:val="28"/>
        </w:rPr>
        <w:t>
      6) the value of the customs value of the goods per 1 (one) kilogram or per 1 (one) additional unit in dollars of the United States (hereinafter referred to as the US), used as an indicator for the selection of risk goods (hereinafter referred to as the value indicator of risk);</w:t>
      </w:r>
    </w:p>
    <w:p>
      <w:pPr>
        <w:spacing w:after="0"/>
        <w:ind w:left="0"/>
        <w:jc w:val="both"/>
      </w:pPr>
      <w:r>
        <w:rPr>
          <w:rFonts w:ascii="Times New Roman"/>
          <w:b w:val="false"/>
          <w:i w:val="false"/>
          <w:color w:val="000000"/>
          <w:sz w:val="28"/>
        </w:rPr>
        <w:t>
      7) method of determining the customs value – method based on the value of a transaction with imported goods (method 1) in accordance with Article 66 of the Code of the Republic of Kazakhstan "On customs regulation in the Republic of Kazakhstan";</w:t>
      </w:r>
    </w:p>
    <w:p>
      <w:pPr>
        <w:spacing w:after="0"/>
        <w:ind w:left="0"/>
        <w:jc w:val="both"/>
      </w:pPr>
      <w:r>
        <w:rPr>
          <w:rFonts w:ascii="Times New Roman"/>
          <w:b w:val="false"/>
          <w:i w:val="false"/>
          <w:color w:val="000000"/>
          <w:sz w:val="28"/>
        </w:rPr>
        <w:t>
      8) model, brand (if any);</w:t>
      </w:r>
    </w:p>
    <w:p>
      <w:pPr>
        <w:spacing w:after="0"/>
        <w:ind w:left="0"/>
        <w:jc w:val="both"/>
      </w:pPr>
      <w:r>
        <w:rPr>
          <w:rFonts w:ascii="Times New Roman"/>
          <w:b w:val="false"/>
          <w:i w:val="false"/>
          <w:color w:val="000000"/>
          <w:sz w:val="28"/>
        </w:rPr>
        <w:t>
      9) trademark (if any);</w:t>
      </w:r>
    </w:p>
    <w:p>
      <w:pPr>
        <w:spacing w:after="0"/>
        <w:ind w:left="0"/>
        <w:jc w:val="both"/>
      </w:pPr>
      <w:r>
        <w:rPr>
          <w:rFonts w:ascii="Times New Roman"/>
          <w:b w:val="false"/>
          <w:i w:val="false"/>
          <w:color w:val="000000"/>
          <w:sz w:val="28"/>
        </w:rPr>
        <w:t>
      10) seasonality (by commodity groups 07 (vegetables) - 08 (fruits) FEACN EAEU);</w:t>
      </w:r>
    </w:p>
    <w:p>
      <w:pPr>
        <w:spacing w:after="0"/>
        <w:ind w:left="0"/>
        <w:jc w:val="both"/>
      </w:pPr>
      <w:r>
        <w:rPr>
          <w:rFonts w:ascii="Times New Roman"/>
          <w:b w:val="false"/>
          <w:i w:val="false"/>
          <w:color w:val="000000"/>
          <w:sz w:val="28"/>
        </w:rPr>
        <w:t>
      11) type of transport on the border.</w:t>
      </w:r>
    </w:p>
    <w:bookmarkStart w:name="z14" w:id="13"/>
    <w:p>
      <w:pPr>
        <w:spacing w:after="0"/>
        <w:ind w:left="0"/>
        <w:jc w:val="both"/>
      </w:pPr>
      <w:r>
        <w:rPr>
          <w:rFonts w:ascii="Times New Roman"/>
          <w:b w:val="false"/>
          <w:i w:val="false"/>
          <w:color w:val="000000"/>
          <w:sz w:val="28"/>
        </w:rPr>
        <w:t>
      6. Formed price information contains:</w:t>
      </w:r>
    </w:p>
    <w:bookmarkEnd w:id="13"/>
    <w:p>
      <w:pPr>
        <w:spacing w:after="0"/>
        <w:ind w:left="0"/>
        <w:jc w:val="both"/>
      </w:pPr>
      <w:r>
        <w:rPr>
          <w:rFonts w:ascii="Times New Roman"/>
          <w:b w:val="false"/>
          <w:i w:val="false"/>
          <w:color w:val="000000"/>
          <w:sz w:val="28"/>
        </w:rPr>
        <w:t>
      1) ten-digit product code in accordance with FEACN EAEU;</w:t>
      </w:r>
    </w:p>
    <w:p>
      <w:pPr>
        <w:spacing w:after="0"/>
        <w:ind w:left="0"/>
        <w:jc w:val="both"/>
      </w:pPr>
      <w:r>
        <w:rPr>
          <w:rFonts w:ascii="Times New Roman"/>
          <w:b w:val="false"/>
          <w:i w:val="false"/>
          <w:color w:val="000000"/>
          <w:sz w:val="28"/>
        </w:rPr>
        <w:t>
      2) country of origin;</w:t>
      </w:r>
    </w:p>
    <w:p>
      <w:pPr>
        <w:spacing w:after="0"/>
        <w:ind w:left="0"/>
        <w:jc w:val="both"/>
      </w:pPr>
      <w:r>
        <w:rPr>
          <w:rFonts w:ascii="Times New Roman"/>
          <w:b w:val="false"/>
          <w:i w:val="false"/>
          <w:color w:val="000000"/>
          <w:sz w:val="28"/>
        </w:rPr>
        <w:t>
      3) description of goods;</w:t>
      </w:r>
    </w:p>
    <w:p>
      <w:pPr>
        <w:spacing w:after="0"/>
        <w:ind w:left="0"/>
        <w:jc w:val="both"/>
      </w:pPr>
      <w:r>
        <w:rPr>
          <w:rFonts w:ascii="Times New Roman"/>
          <w:b w:val="false"/>
          <w:i w:val="false"/>
          <w:color w:val="000000"/>
          <w:sz w:val="28"/>
        </w:rPr>
        <w:t>
      4) the value of the customs value of the goods in US dollars per 1 (one) kilogram or per 1 (one) additional unit of measurement (hereinafter - the customs value index);</w:t>
      </w:r>
    </w:p>
    <w:p>
      <w:pPr>
        <w:spacing w:after="0"/>
        <w:ind w:left="0"/>
        <w:jc w:val="both"/>
      </w:pPr>
      <w:r>
        <w:rPr>
          <w:rFonts w:ascii="Times New Roman"/>
          <w:b w:val="false"/>
          <w:i w:val="false"/>
          <w:color w:val="000000"/>
          <w:sz w:val="28"/>
        </w:rPr>
        <w:t xml:space="preserve">
      5) source of information. </w:t>
      </w:r>
    </w:p>
    <w:p>
      <w:pPr>
        <w:spacing w:after="0"/>
        <w:ind w:left="0"/>
        <w:jc w:val="both"/>
      </w:pPr>
      <w:r>
        <w:rPr>
          <w:rFonts w:ascii="Times New Roman"/>
          <w:b w:val="false"/>
          <w:i w:val="false"/>
          <w:color w:val="000000"/>
          <w:sz w:val="28"/>
        </w:rPr>
        <w:t>
      The generated price information shall not reflect the information obtained from the database of electronic copies of GD directed as part of the information exchange between the EAEU member states.</w:t>
      </w:r>
    </w:p>
    <w:bookmarkStart w:name="z15" w:id="14"/>
    <w:p>
      <w:pPr>
        <w:spacing w:after="0"/>
        <w:ind w:left="0"/>
        <w:jc w:val="both"/>
      </w:pPr>
      <w:r>
        <w:rPr>
          <w:rFonts w:ascii="Times New Roman"/>
          <w:b w:val="false"/>
          <w:i w:val="false"/>
          <w:color w:val="000000"/>
          <w:sz w:val="28"/>
        </w:rPr>
        <w:t>
      7. To form the price information used when controlling the customs value of goods, GD are selected from the database of electronic copies of GD, which were imported within the period of not earlier than 12 (twelve) months before the date of forming the price information.</w:t>
      </w:r>
    </w:p>
    <w:bookmarkEnd w:id="14"/>
    <w:p>
      <w:pPr>
        <w:spacing w:after="0"/>
        <w:ind w:left="0"/>
        <w:jc w:val="both"/>
      </w:pPr>
      <w:r>
        <w:rPr>
          <w:rFonts w:ascii="Times New Roman"/>
          <w:b w:val="false"/>
          <w:i w:val="false"/>
          <w:color w:val="000000"/>
          <w:sz w:val="28"/>
        </w:rPr>
        <w:t>
      From the resulting array, GDs are selected in the context of FEACN EAEU codes and countries of origin for which cost risk indicators are established.</w:t>
      </w:r>
    </w:p>
    <w:bookmarkStart w:name="z16" w:id="15"/>
    <w:p>
      <w:pPr>
        <w:spacing w:after="0"/>
        <w:ind w:left="0"/>
        <w:jc w:val="both"/>
      </w:pPr>
      <w:r>
        <w:rPr>
          <w:rFonts w:ascii="Times New Roman"/>
          <w:b w:val="false"/>
          <w:i w:val="false"/>
          <w:color w:val="000000"/>
          <w:sz w:val="28"/>
        </w:rPr>
        <w:t>
      8. If the array contains information about several transactions in the context of FEACN EAEU codes and countries of origin, transactions with the lowest value of the customs value index exceeding the value of the value risk indicator by no more than 20% shall be selected.</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