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b7cf" w14:textId="25fb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Development of an Environmental Action Plan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Ecology, Geology and Natural Resources of the Republic of Kazakhstan No. 264 dated July 21, 2021. Registered with the Ministry of Justice of the Republic of Kazakhstan on July 23, 2021, under No. 23674</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See paragraph 4 of this order for its enactment procedure.</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Under paragraph 5 of Article 29 of the Environmental Code of the Republic of Kazakhstan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That the attached Rules for the Development of an Environmental Action Plan shall be approved.</w:t>
      </w:r>
    </w:p>
    <w:bookmarkEnd w:id="1"/>
    <w:bookmarkStart w:name="z3" w:id="2"/>
    <w:p>
      <w:pPr>
        <w:spacing w:after="0"/>
        <w:ind w:left="0"/>
        <w:jc w:val="both"/>
      </w:pPr>
      <w:r>
        <w:rPr>
          <w:rFonts w:ascii="Times New Roman"/>
          <w:b w:val="false"/>
          <w:i w:val="false"/>
          <w:color w:val="000000"/>
          <w:sz w:val="28"/>
        </w:rPr>
        <w:t>
      2. That, pursuant to the procedure stipulated by the legislation of the Republic of Kazakhstan, the Department of Environmental Policy and Sustainable Development of the Ministry of Ecology, Geology and Natural Resources of the Republic of Kazakhstan shall:</w:t>
      </w:r>
    </w:p>
    <w:bookmarkEnd w:id="2"/>
    <w:bookmarkStart w:name="z4" w:id="3"/>
    <w:p>
      <w:pPr>
        <w:spacing w:after="0"/>
        <w:ind w:left="0"/>
        <w:jc w:val="both"/>
      </w:pPr>
      <w:r>
        <w:rPr>
          <w:rFonts w:ascii="Times New Roman"/>
          <w:b w:val="false"/>
          <w:i w:val="false"/>
          <w:color w:val="000000"/>
          <w:sz w:val="28"/>
        </w:rPr>
        <w:t>
      1) ensure the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ensure the placement hereof on the website of the Ministry of Ecology, Geology and Natural Resources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submit to the Legal Service Department of the Ministry of Ecology, Geology and Natural Resources of the Republic of Kazakhstan information on the implementation of measures under sub-paragraphs 1) and 2) of this paragraph.</w:t>
      </w:r>
    </w:p>
    <w:bookmarkEnd w:id="5"/>
    <w:bookmarkStart w:name="z7" w:id="6"/>
    <w:p>
      <w:pPr>
        <w:spacing w:after="0"/>
        <w:ind w:left="0"/>
        <w:jc w:val="both"/>
      </w:pPr>
      <w:r>
        <w:rPr>
          <w:rFonts w:ascii="Times New Roman"/>
          <w:b w:val="false"/>
          <w:i w:val="false"/>
          <w:color w:val="000000"/>
          <w:sz w:val="28"/>
        </w:rPr>
        <w:t>
      3. That the Supervising Vice-Minister of Ecology, Geology and Natural Resources of the Republic of Kazakhstan shall be in charge of the execution hereof.</w:t>
      </w:r>
    </w:p>
    <w:bookmarkEnd w:id="6"/>
    <w:bookmarkStart w:name="z8" w:id="7"/>
    <w:p>
      <w:pPr>
        <w:spacing w:after="0"/>
        <w:ind w:left="0"/>
        <w:jc w:val="both"/>
      </w:pPr>
      <w:r>
        <w:rPr>
          <w:rFonts w:ascii="Times New Roman"/>
          <w:b w:val="false"/>
          <w:i w:val="false"/>
          <w:color w:val="000000"/>
          <w:sz w:val="28"/>
        </w:rPr>
        <w:t>
      4. That this order shall enter into force from the date of its first official publication and shall apply to legal relations arising from July 1, 2021.</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Ecology,</w:t>
            </w:r>
          </w:p>
          <w:p>
            <w:pPr>
              <w:spacing w:after="20"/>
              <w:ind w:left="20"/>
              <w:jc w:val="both"/>
            </w:pPr>
          </w:p>
          <w:p>
            <w:pPr>
              <w:spacing w:after="20"/>
              <w:ind w:left="20"/>
              <w:jc w:val="both"/>
            </w:pPr>
            <w:r>
              <w:rPr>
                <w:rFonts w:ascii="Times New Roman"/>
                <w:b w:val="false"/>
                <w:i/>
                <w:color w:val="000000"/>
                <w:sz w:val="20"/>
              </w:rPr>
              <w:t>Geology and Natural Resources</w:t>
            </w:r>
          </w:p>
          <w:p>
            <w:pPr>
              <w:spacing w:after="0"/>
              <w:ind w:left="0"/>
              <w:jc w:val="left"/>
            </w:pPr>
          </w:p>
          <w:p>
            <w:pPr>
              <w:spacing w:after="20"/>
              <w:ind w:left="20"/>
              <w:jc w:val="both"/>
            </w:pPr>
            <w:r>
              <w:rPr>
                <w:rFonts w:ascii="Times New Roman"/>
                <w:b w:val="false"/>
                <w:i/>
                <w:color w:val="000000"/>
                <w:sz w:val="20"/>
              </w:rPr>
              <w:t xml:space="preserv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 Brekeshev</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“APPROVED BY”</w:t>
      </w:r>
    </w:p>
    <w:bookmarkEnd w:id="8"/>
    <w:p>
      <w:pPr>
        <w:spacing w:after="0"/>
        <w:ind w:left="0"/>
        <w:jc w:val="both"/>
      </w:pPr>
      <w:r>
        <w:rPr>
          <w:rFonts w:ascii="Times New Roman"/>
          <w:b w:val="false"/>
          <w:i w:val="false"/>
          <w:color w:val="000000"/>
          <w:sz w:val="28"/>
        </w:rPr>
        <w:t xml:space="preserve">-Ministry of Finance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1" w:id="9"/>
      <w:r>
        <w:rPr>
          <w:rFonts w:ascii="Times New Roman"/>
          <w:b w:val="false"/>
          <w:i w:val="false"/>
          <w:color w:val="000000"/>
          <w:sz w:val="28"/>
        </w:rPr>
        <w:t>
      “APPROVED BY”</w:t>
      </w:r>
    </w:p>
    <w:bookmarkEnd w:id="9"/>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 to the Order of the Aciting </w:t>
            </w:r>
            <w:r>
              <w:br/>
            </w:r>
            <w:r>
              <w:rPr>
                <w:rFonts w:ascii="Times New Roman"/>
                <w:b w:val="false"/>
                <w:i w:val="false"/>
                <w:color w:val="000000"/>
                <w:sz w:val="20"/>
              </w:rPr>
              <w:t>Minister of Ecology, Geology</w:t>
            </w:r>
            <w:r>
              <w:br/>
            </w:r>
            <w:r>
              <w:rPr>
                <w:rFonts w:ascii="Times New Roman"/>
                <w:b w:val="false"/>
                <w:i w:val="false"/>
                <w:color w:val="000000"/>
                <w:sz w:val="20"/>
              </w:rPr>
              <w:t xml:space="preserve"> and Natural Resources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264 of July 21, 2021 </w:t>
            </w:r>
          </w:p>
        </w:tc>
      </w:tr>
    </w:tbl>
    <w:bookmarkStart w:name="z13" w:id="10"/>
    <w:p>
      <w:pPr>
        <w:spacing w:after="0"/>
        <w:ind w:left="0"/>
        <w:jc w:val="left"/>
      </w:pPr>
      <w:r>
        <w:rPr>
          <w:rFonts w:ascii="Times New Roman"/>
          <w:b/>
          <w:i w:val="false"/>
          <w:color w:val="000000"/>
        </w:rPr>
        <w:t xml:space="preserve"> Rules for the Development of an Environmental Action Plan</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xml:space="preserve">
      1. These Rules for the Development of an Environmental Action Plan (hereinafter – the Rules) have been developed as per paragraph 5 of Article 29 of the Environmental Code of the Republic of Kazakhstan and determine the procedure for developing an action plan of local executive bodies of regions, cities of republican significance, the capital on environmental protection, financed from the budgetary funds. </w:t>
      </w:r>
    </w:p>
    <w:bookmarkEnd w:id="12"/>
    <w:bookmarkStart w:name="z16" w:id="13"/>
    <w:p>
      <w:pPr>
        <w:spacing w:after="0"/>
        <w:ind w:left="0"/>
        <w:jc w:val="left"/>
      </w:pPr>
      <w:r>
        <w:rPr>
          <w:rFonts w:ascii="Times New Roman"/>
          <w:b/>
          <w:i w:val="false"/>
          <w:color w:val="000000"/>
        </w:rPr>
        <w:t xml:space="preserve"> Chapter 2. The procedure for developing an action plan for environmental protection</w:t>
      </w:r>
    </w:p>
    <w:bookmarkEnd w:id="13"/>
    <w:bookmarkStart w:name="z17" w:id="14"/>
    <w:p>
      <w:pPr>
        <w:spacing w:after="0"/>
        <w:ind w:left="0"/>
        <w:jc w:val="both"/>
      </w:pPr>
      <w:r>
        <w:rPr>
          <w:rFonts w:ascii="Times New Roman"/>
          <w:b w:val="false"/>
          <w:i w:val="false"/>
          <w:color w:val="000000"/>
          <w:sz w:val="28"/>
        </w:rPr>
        <w:t xml:space="preserve">
      2. Actions to protect the environment shall be organized: </w:t>
      </w:r>
    </w:p>
    <w:bookmarkEnd w:id="14"/>
    <w:bookmarkStart w:name="z18" w:id="15"/>
    <w:p>
      <w:pPr>
        <w:spacing w:after="0"/>
        <w:ind w:left="0"/>
        <w:jc w:val="both"/>
      </w:pPr>
      <w:r>
        <w:rPr>
          <w:rFonts w:ascii="Times New Roman"/>
          <w:b w:val="false"/>
          <w:i w:val="false"/>
          <w:color w:val="000000"/>
          <w:sz w:val="28"/>
        </w:rPr>
        <w:t>
      1) at the local level - by local executive bodies of regions, cities of republican significance, the capital;</w:t>
      </w:r>
    </w:p>
    <w:bookmarkEnd w:id="15"/>
    <w:bookmarkStart w:name="z19" w:id="16"/>
    <w:p>
      <w:pPr>
        <w:spacing w:after="0"/>
        <w:ind w:left="0"/>
        <w:jc w:val="both"/>
      </w:pPr>
      <w:r>
        <w:rPr>
          <w:rFonts w:ascii="Times New Roman"/>
          <w:b w:val="false"/>
          <w:i w:val="false"/>
          <w:color w:val="000000"/>
          <w:sz w:val="28"/>
        </w:rPr>
        <w:t>
      2) at the national level - by the competent authority in the field of environmental protection.</w:t>
      </w:r>
    </w:p>
    <w:bookmarkEnd w:id="16"/>
    <w:bookmarkStart w:name="z20" w:id="17"/>
    <w:p>
      <w:pPr>
        <w:spacing w:after="0"/>
        <w:ind w:left="0"/>
        <w:jc w:val="both"/>
      </w:pPr>
      <w:r>
        <w:rPr>
          <w:rFonts w:ascii="Times New Roman"/>
          <w:b w:val="false"/>
          <w:i w:val="false"/>
          <w:color w:val="000000"/>
          <w:sz w:val="28"/>
        </w:rPr>
        <w:t xml:space="preserve">
      3. Environmental action plans shall be developed by local executive bodies of the region, city of republican significance, the capital for a three-year period in the form as per the Annex hereto. </w:t>
      </w:r>
    </w:p>
    <w:bookmarkEnd w:id="17"/>
    <w:bookmarkStart w:name="z21" w:id="18"/>
    <w:p>
      <w:pPr>
        <w:spacing w:after="0"/>
        <w:ind w:left="0"/>
        <w:jc w:val="both"/>
      </w:pPr>
      <w:r>
        <w:rPr>
          <w:rFonts w:ascii="Times New Roman"/>
          <w:b w:val="false"/>
          <w:i w:val="false"/>
          <w:color w:val="000000"/>
          <w:sz w:val="28"/>
        </w:rPr>
        <w:t>
      4. Local executive bodies of region, city of republican significance, the capital shall send requests to local representative bodies, interested territorial subdivisions of central public authorities, interested public on measures to eliminate problematic issues, pursuant to the list of environmental protection measures stipulated by Annex 4 to the Environmental Code of the Republic of Kazakhstan.</w:t>
      </w:r>
    </w:p>
    <w:bookmarkEnd w:id="18"/>
    <w:bookmarkStart w:name="z22" w:id="19"/>
    <w:p>
      <w:pPr>
        <w:spacing w:after="0"/>
        <w:ind w:left="0"/>
        <w:jc w:val="both"/>
      </w:pPr>
      <w:r>
        <w:rPr>
          <w:rFonts w:ascii="Times New Roman"/>
          <w:b w:val="false"/>
          <w:i w:val="false"/>
          <w:color w:val="000000"/>
          <w:sz w:val="28"/>
        </w:rPr>
        <w:t>
      5. When considering the draft Environmental Action Plan, the following parameters shall be observed for the selection of environmental protection measures:</w:t>
      </w:r>
    </w:p>
    <w:bookmarkEnd w:id="19"/>
    <w:bookmarkStart w:name="z23" w:id="20"/>
    <w:p>
      <w:pPr>
        <w:spacing w:after="0"/>
        <w:ind w:left="0"/>
        <w:jc w:val="both"/>
      </w:pPr>
      <w:r>
        <w:rPr>
          <w:rFonts w:ascii="Times New Roman"/>
          <w:b w:val="false"/>
          <w:i w:val="false"/>
          <w:color w:val="000000"/>
          <w:sz w:val="28"/>
        </w:rPr>
        <w:t>
      1) the current state of the region's environment (including data from environmental monitoring of the region's environment, laboratory research, and the results of public monitoring by the interested environmental public);</w:t>
      </w:r>
    </w:p>
    <w:bookmarkEnd w:id="20"/>
    <w:bookmarkStart w:name="z24" w:id="21"/>
    <w:p>
      <w:pPr>
        <w:spacing w:after="0"/>
        <w:ind w:left="0"/>
        <w:jc w:val="both"/>
      </w:pPr>
      <w:r>
        <w:rPr>
          <w:rFonts w:ascii="Times New Roman"/>
          <w:b w:val="false"/>
          <w:i w:val="false"/>
          <w:color w:val="000000"/>
          <w:sz w:val="28"/>
        </w:rPr>
        <w:t>
      2) historical issues of concern in the field of ecology, environmental protection, as well as the risks of environmental damage (projected magnitude) in case of failure to implement measures to address them;</w:t>
      </w:r>
    </w:p>
    <w:bookmarkEnd w:id="21"/>
    <w:bookmarkStart w:name="z25" w:id="22"/>
    <w:p>
      <w:pPr>
        <w:spacing w:after="0"/>
        <w:ind w:left="0"/>
        <w:jc w:val="both"/>
      </w:pPr>
      <w:r>
        <w:rPr>
          <w:rFonts w:ascii="Times New Roman"/>
          <w:b w:val="false"/>
          <w:i w:val="false"/>
          <w:color w:val="000000"/>
          <w:sz w:val="28"/>
        </w:rPr>
        <w:t>
      3) existing ways, methods of eliminating environmental issues, including ways and methods alternative to the proposed environmental protection measures;</w:t>
      </w:r>
    </w:p>
    <w:bookmarkEnd w:id="22"/>
    <w:bookmarkStart w:name="z26" w:id="23"/>
    <w:p>
      <w:pPr>
        <w:spacing w:after="0"/>
        <w:ind w:left="0"/>
        <w:jc w:val="both"/>
      </w:pPr>
      <w:r>
        <w:rPr>
          <w:rFonts w:ascii="Times New Roman"/>
          <w:b w:val="false"/>
          <w:i w:val="false"/>
          <w:color w:val="000000"/>
          <w:sz w:val="28"/>
        </w:rPr>
        <w:t>
      4) the anticipated environmental effect of improving the quality of the environment, including on public health;</w:t>
      </w:r>
    </w:p>
    <w:bookmarkEnd w:id="23"/>
    <w:bookmarkStart w:name="z27" w:id="24"/>
    <w:p>
      <w:pPr>
        <w:spacing w:after="0"/>
        <w:ind w:left="0"/>
        <w:jc w:val="both"/>
      </w:pPr>
      <w:r>
        <w:rPr>
          <w:rFonts w:ascii="Times New Roman"/>
          <w:b w:val="false"/>
          <w:i w:val="false"/>
          <w:color w:val="000000"/>
          <w:sz w:val="28"/>
        </w:rPr>
        <w:t xml:space="preserve">
      5) projected results of achieving the target indicators of environmental quality of the relevant region, city of republican significance, the capital; </w:t>
      </w:r>
    </w:p>
    <w:bookmarkEnd w:id="24"/>
    <w:bookmarkStart w:name="z28" w:id="25"/>
    <w:p>
      <w:pPr>
        <w:spacing w:after="0"/>
        <w:ind w:left="0"/>
        <w:jc w:val="both"/>
      </w:pPr>
      <w:r>
        <w:rPr>
          <w:rFonts w:ascii="Times New Roman"/>
          <w:b w:val="false"/>
          <w:i w:val="false"/>
          <w:color w:val="000000"/>
          <w:sz w:val="28"/>
        </w:rPr>
        <w:t>
      6) calculations of the cost of implementing a particular event;</w:t>
      </w:r>
    </w:p>
    <w:bookmarkEnd w:id="25"/>
    <w:bookmarkStart w:name="z29" w:id="26"/>
    <w:p>
      <w:pPr>
        <w:spacing w:after="0"/>
        <w:ind w:left="0"/>
        <w:jc w:val="both"/>
      </w:pPr>
      <w:r>
        <w:rPr>
          <w:rFonts w:ascii="Times New Roman"/>
          <w:b w:val="false"/>
          <w:i w:val="false"/>
          <w:color w:val="000000"/>
          <w:sz w:val="28"/>
        </w:rPr>
        <w:t>
      7) information on the amounts of payment for negative impact on the environment, received in the local budget during the three years preceding the year of development and approval of the Environmental Action Plan;</w:t>
      </w:r>
    </w:p>
    <w:bookmarkEnd w:id="26"/>
    <w:bookmarkStart w:name="z30" w:id="27"/>
    <w:p>
      <w:pPr>
        <w:spacing w:after="0"/>
        <w:ind w:left="0"/>
        <w:jc w:val="both"/>
      </w:pPr>
      <w:r>
        <w:rPr>
          <w:rFonts w:ascii="Times New Roman"/>
          <w:b w:val="false"/>
          <w:i w:val="false"/>
          <w:color w:val="000000"/>
          <w:sz w:val="28"/>
        </w:rPr>
        <w:t>
      8) other issues of implementation of environmental protection measures (creation of jobs, involvement of local suppliers of goods, works and services, import substitution, etc.).</w:t>
      </w:r>
    </w:p>
    <w:bookmarkEnd w:id="27"/>
    <w:bookmarkStart w:name="z31" w:id="28"/>
    <w:p>
      <w:pPr>
        <w:spacing w:after="0"/>
        <w:ind w:left="0"/>
        <w:jc w:val="both"/>
      </w:pPr>
      <w:r>
        <w:rPr>
          <w:rFonts w:ascii="Times New Roman"/>
          <w:b w:val="false"/>
          <w:i w:val="false"/>
          <w:color w:val="000000"/>
          <w:sz w:val="28"/>
        </w:rPr>
        <w:t>
      6. The Environmental Action Plans shall cover environmental protection measures aimed at achieving environmental quality standards, environmental quality targets, territorial development programs and master plans of settlements of the relevant region, city of republican significance, the capital.</w:t>
      </w:r>
    </w:p>
    <w:bookmarkEnd w:id="28"/>
    <w:bookmarkStart w:name="z32" w:id="29"/>
    <w:p>
      <w:pPr>
        <w:spacing w:after="0"/>
        <w:ind w:left="0"/>
        <w:jc w:val="both"/>
      </w:pPr>
      <w:r>
        <w:rPr>
          <w:rFonts w:ascii="Times New Roman"/>
          <w:b w:val="false"/>
          <w:i w:val="false"/>
          <w:color w:val="000000"/>
          <w:sz w:val="28"/>
        </w:rPr>
        <w:t xml:space="preserve">
      7. The draft Environmental Action Plan shall be submitted for public hearings. </w:t>
      </w:r>
    </w:p>
    <w:bookmarkEnd w:id="29"/>
    <w:bookmarkStart w:name="z33" w:id="30"/>
    <w:p>
      <w:pPr>
        <w:spacing w:after="0"/>
        <w:ind w:left="0"/>
        <w:jc w:val="both"/>
      </w:pPr>
      <w:r>
        <w:rPr>
          <w:rFonts w:ascii="Times New Roman"/>
          <w:b w:val="false"/>
          <w:i w:val="false"/>
          <w:color w:val="000000"/>
          <w:sz w:val="28"/>
        </w:rPr>
        <w:t>
      8. The local executive body of the region, city of republican significance, the capital shall submit the draft Environmental Action Plan for approval to the competent authority in the field of environmental protection with the attachment of the minutes of public hearings.</w:t>
      </w:r>
    </w:p>
    <w:bookmarkEnd w:id="30"/>
    <w:bookmarkStart w:name="z34" w:id="31"/>
    <w:p>
      <w:pPr>
        <w:spacing w:after="0"/>
        <w:ind w:left="0"/>
        <w:jc w:val="both"/>
      </w:pPr>
      <w:r>
        <w:rPr>
          <w:rFonts w:ascii="Times New Roman"/>
          <w:b w:val="false"/>
          <w:i w:val="false"/>
          <w:color w:val="000000"/>
          <w:sz w:val="28"/>
        </w:rPr>
        <w:t>
      9. The competent authority in the field of environmental protection shall refuse to approve the Environmental Action Plan if it does not meet the requirements of Article 29 of the Environmental Code of the Republic of Kazakhstan and the provisions hereof.</w:t>
      </w:r>
    </w:p>
    <w:bookmarkEnd w:id="31"/>
    <w:bookmarkStart w:name="z35" w:id="32"/>
    <w:p>
      <w:pPr>
        <w:spacing w:after="0"/>
        <w:ind w:left="0"/>
        <w:jc w:val="both"/>
      </w:pPr>
      <w:r>
        <w:rPr>
          <w:rFonts w:ascii="Times New Roman"/>
          <w:b w:val="false"/>
          <w:i w:val="false"/>
          <w:color w:val="000000"/>
          <w:sz w:val="28"/>
        </w:rPr>
        <w:t>
      10. The Environmental Action Plan, agreed by the competent environmental authority, shall be approved by the local representative body of the region, the city of republican significance, the capital, and shall be published on the official Internet site of the local executive body of the region, the city of republican significance, the capital and the competent authority in the field of the environment.</w:t>
      </w:r>
    </w:p>
    <w:bookmarkEnd w:id="32"/>
    <w:bookmarkStart w:name="z36" w:id="33"/>
    <w:p>
      <w:pPr>
        <w:spacing w:after="0"/>
        <w:ind w:left="0"/>
        <w:jc w:val="both"/>
      </w:pPr>
      <w:r>
        <w:rPr>
          <w:rFonts w:ascii="Times New Roman"/>
          <w:b w:val="false"/>
          <w:i w:val="false"/>
          <w:color w:val="000000"/>
          <w:sz w:val="28"/>
        </w:rPr>
        <w:t>
      11. The environmental action plan shall be revised once a year in the first half of the year by decision of the local representative body of the region, city of republican significance, the capital and in coordination with the competent authority in the field of environmental protection.</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Rules for the </w:t>
            </w:r>
            <w:r>
              <w:br/>
            </w:r>
            <w:r>
              <w:rPr>
                <w:rFonts w:ascii="Times New Roman"/>
                <w:b w:val="false"/>
                <w:i w:val="false"/>
                <w:color w:val="000000"/>
                <w:sz w:val="20"/>
              </w:rPr>
              <w:t>Development of an</w:t>
            </w:r>
            <w:r>
              <w:br/>
            </w:r>
            <w:r>
              <w:rPr>
                <w:rFonts w:ascii="Times New Roman"/>
                <w:b w:val="false"/>
                <w:i w:val="false"/>
                <w:color w:val="000000"/>
                <w:sz w:val="20"/>
              </w:rPr>
              <w:t xml:space="preserve"> Environmenttal Action Plan </w:t>
            </w:r>
          </w:p>
        </w:tc>
      </w:tr>
    </w:tbl>
    <w:bookmarkStart w:name="z38" w:id="34"/>
    <w:p>
      <w:pPr>
        <w:spacing w:after="0"/>
        <w:ind w:left="0"/>
        <w:jc w:val="left"/>
      </w:pPr>
      <w:r>
        <w:rPr>
          <w:rFonts w:ascii="Times New Roman"/>
          <w:b/>
          <w:i w:val="false"/>
          <w:color w:val="000000"/>
        </w:rPr>
        <w:t xml:space="preserve"> Environmental Action Plan</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Actions name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form</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persons/entities for implementation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expenditures (thousand tenge)/additional sources (thousand tenge)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of financing</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экологический эффект от мероприятия*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(причины неисполнения)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Atmospheric air protection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Protection of water bodies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Protection from impacts on coastal and aquatic ecosystems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Protection of land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Subsoil protection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Protection of fauna and flora</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Waste management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Radiation, biological and chemical safety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Implementation of management systems and the best safe technologies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Research, survey and other developments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5"/>
    <w:p>
      <w:pPr>
        <w:spacing w:after="0"/>
        <w:ind w:left="0"/>
        <w:jc w:val="both"/>
      </w:pPr>
      <w:r>
        <w:rPr>
          <w:rFonts w:ascii="Times New Roman"/>
          <w:b w:val="false"/>
          <w:i w:val="false"/>
          <w:color w:val="000000"/>
          <w:sz w:val="28"/>
        </w:rPr>
        <w:t>
      * quantitative indicator shall be specified to reduce the impact on atmospheric air, water resources and waste generation</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