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7919" w14:textId="7a57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environmental requirements for the operation of energy waste disposal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Ecology, Geology and Natural Resources of the Republic of Kazakhstan dated August 10, 2021 No. 320. Registered with the Ministry of Justice of the Republic of Kazakhstan on August 10, 2021 No. 23929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3 of Article 324 of the Environmental Code of the Republic of Kazakhstan, </w:t>
      </w:r>
      <w:r>
        <w:rPr>
          <w:rFonts w:ascii="Times New Roman"/>
          <w:b/>
          <w:i w:val="false"/>
          <w:color w:val="000000"/>
          <w:sz w:val="28"/>
        </w:rPr>
        <w:t>DECREE:</w:t>
      </w:r>
    </w:p>
    <w:bookmarkEnd w:id="0"/>
    <w:bookmarkStart w:name="z2" w:id="1"/>
    <w:p>
      <w:pPr>
        <w:spacing w:after="0"/>
        <w:ind w:left="0"/>
        <w:jc w:val="both"/>
      </w:pPr>
      <w:r>
        <w:rPr>
          <w:rFonts w:ascii="Times New Roman"/>
          <w:b w:val="false"/>
          <w:i w:val="false"/>
          <w:color w:val="000000"/>
          <w:sz w:val="28"/>
        </w:rPr>
        <w:t>
      1. Approve the attached environmental requirements for the operation of energy waste disposal facilities.</w:t>
      </w:r>
    </w:p>
    <w:bookmarkEnd w:id="1"/>
    <w:bookmarkStart w:name="z3" w:id="2"/>
    <w:p>
      <w:pPr>
        <w:spacing w:after="0"/>
        <w:ind w:left="0"/>
        <w:jc w:val="both"/>
      </w:pPr>
      <w:r>
        <w:rPr>
          <w:rFonts w:ascii="Times New Roman"/>
          <w:b w:val="false"/>
          <w:i w:val="false"/>
          <w:color w:val="000000"/>
          <w:sz w:val="28"/>
        </w:rPr>
        <w:t>
      2. Recognize as invalid the order of the Acting Minister of Ecology, Geology and Natural Resources of the Republic of Kazakhstan dated March 25, 2021 No. 72 “On Approval of the Requirements for the Operation of Energy Waste Disposal Facilities” (Registered in the Register of State Registration of Regulatory Legal Acts under No. 22391).</w:t>
      </w:r>
    </w:p>
    <w:bookmarkEnd w:id="2"/>
    <w:bookmarkStart w:name="z4" w:id="3"/>
    <w:p>
      <w:pPr>
        <w:spacing w:after="0"/>
        <w:ind w:left="0"/>
        <w:jc w:val="both"/>
      </w:pPr>
      <w:r>
        <w:rPr>
          <w:rFonts w:ascii="Times New Roman"/>
          <w:b w:val="false"/>
          <w:i w:val="false"/>
          <w:color w:val="000000"/>
          <w:sz w:val="28"/>
        </w:rPr>
        <w:t>
      3. The Department of State Waste Management Policy of the Ministry of Ecology, Geology and Natural Resources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Service Department of the Ministry of Ecology, Geology and Natural Resources of the Republic of Kazakhstan of information on the implementation of the measures provided for in subparagraphs 1) and 2) of this paragraph.</w:t>
      </w:r>
    </w:p>
    <w:bookmarkEnd w:id="6"/>
    <w:bookmarkStart w:name="z8" w:id="7"/>
    <w:p>
      <w:pPr>
        <w:spacing w:after="0"/>
        <w:ind w:left="0"/>
        <w:jc w:val="both"/>
      </w:pPr>
      <w:r>
        <w:rPr>
          <w:rFonts w:ascii="Times New Roman"/>
          <w:b w:val="false"/>
          <w:i w:val="false"/>
          <w:color w:val="000000"/>
          <w:sz w:val="28"/>
        </w:rPr>
        <w:t>
      4. To impose control over the execution of this order on the supervising Vice-Minister of Ecology, Geology and Natural Resources of the Republic of Kazakhstan.</w:t>
      </w:r>
    </w:p>
    <w:bookmarkEnd w:id="7"/>
    <w:bookmarkStart w:name="z9" w:id="8"/>
    <w:p>
      <w:pPr>
        <w:spacing w:after="0"/>
        <w:ind w:left="0"/>
        <w:jc w:val="both"/>
      </w:pPr>
      <w:r>
        <w:rPr>
          <w:rFonts w:ascii="Times New Roman"/>
          <w:b w:val="false"/>
          <w:i w:val="false"/>
          <w:color w:val="000000"/>
          <w:sz w:val="28"/>
        </w:rPr>
        <w:t>
      5. This order shall be enforced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Primkulov</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xml:space="preserve">
      " AGREED" </w:t>
      </w:r>
    </w:p>
    <w:bookmarkEnd w:id="9"/>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xml:space="preserve">
      " AGREED" </w:t>
      </w:r>
    </w:p>
    <w:bookmarkEnd w:id="10"/>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 xml:space="preserve">Acting Minister of Ecology, </w:t>
            </w:r>
            <w:r>
              <w:br/>
            </w:r>
            <w:r>
              <w:rPr>
                <w:rFonts w:ascii="Times New Roman"/>
                <w:b w:val="false"/>
                <w:i w:val="false"/>
                <w:color w:val="000000"/>
                <w:sz w:val="20"/>
              </w:rPr>
              <w:t xml:space="preserve">Geology 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10, 2021 No. 320</w:t>
            </w:r>
          </w:p>
        </w:tc>
      </w:tr>
    </w:tbl>
    <w:bookmarkStart w:name="z14" w:id="11"/>
    <w:p>
      <w:pPr>
        <w:spacing w:after="0"/>
        <w:ind w:left="0"/>
        <w:jc w:val="left"/>
      </w:pPr>
      <w:r>
        <w:rPr>
          <w:rFonts w:ascii="Times New Roman"/>
          <w:b/>
          <w:i w:val="false"/>
          <w:color w:val="000000"/>
        </w:rPr>
        <w:t xml:space="preserve"> Environmental requirements for the operation of energy waste disposal facilities</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Environmental Requirements for the operation of energy waste disposal facilities (hereinafter referred to as the Requirements) are developed in accordance with paragraph 3 of Article 324 of the Environmental Code of the Republic of Kazakhstan (hereinafter referred to as the Environmental Code) and define the basic requirements for the operation of energy waste disposal facilities.</w:t>
      </w:r>
    </w:p>
    <w:bookmarkEnd w:id="13"/>
    <w:bookmarkStart w:name="z17" w:id="14"/>
    <w:p>
      <w:pPr>
        <w:spacing w:after="0"/>
        <w:ind w:left="0"/>
        <w:jc w:val="both"/>
      </w:pPr>
      <w:r>
        <w:rPr>
          <w:rFonts w:ascii="Times New Roman"/>
          <w:b w:val="false"/>
          <w:i w:val="false"/>
          <w:color w:val="000000"/>
          <w:sz w:val="28"/>
        </w:rPr>
        <w:t>
      2. The following concepts are used in these Requirements:</w:t>
      </w:r>
    </w:p>
    <w:bookmarkEnd w:id="14"/>
    <w:bookmarkStart w:name="z18" w:id="15"/>
    <w:p>
      <w:pPr>
        <w:spacing w:after="0"/>
        <w:ind w:left="0"/>
        <w:jc w:val="both"/>
      </w:pPr>
      <w:r>
        <w:rPr>
          <w:rFonts w:ascii="Times New Roman"/>
          <w:b w:val="false"/>
          <w:i w:val="false"/>
          <w:color w:val="000000"/>
          <w:sz w:val="28"/>
        </w:rPr>
        <w:t>
      1) energy utilization of waste - the process of thermal treatment of waste in order to reduce their volume and obtain energy, including their use as secondary and (or) energy resources, with the exception of obtaining biogas and other fuel from organic waste;</w:t>
      </w:r>
    </w:p>
    <w:bookmarkEnd w:id="15"/>
    <w:bookmarkStart w:name="z19" w:id="16"/>
    <w:p>
      <w:pPr>
        <w:spacing w:after="0"/>
        <w:ind w:left="0"/>
        <w:jc w:val="both"/>
      </w:pPr>
      <w:r>
        <w:rPr>
          <w:rFonts w:ascii="Times New Roman"/>
          <w:b w:val="false"/>
          <w:i w:val="false"/>
          <w:color w:val="000000"/>
          <w:sz w:val="28"/>
        </w:rPr>
        <w:t>
      2) facility for energy waste disposal (hereinafter referred to as the Object) - a set of technical devices and installations intended for energy waste disposal, and interconnected structures, and infrastructure, technologically necessary for energy waste disposal;</w:t>
      </w:r>
    </w:p>
    <w:bookmarkEnd w:id="16"/>
    <w:bookmarkStart w:name="z20" w:id="17"/>
    <w:p>
      <w:pPr>
        <w:spacing w:after="0"/>
        <w:ind w:left="0"/>
        <w:jc w:val="both"/>
      </w:pPr>
      <w:r>
        <w:rPr>
          <w:rFonts w:ascii="Times New Roman"/>
          <w:b w:val="false"/>
          <w:i w:val="false"/>
          <w:color w:val="000000"/>
          <w:sz w:val="28"/>
        </w:rPr>
        <w:t>
      3) automated system for monitoring emissions into the environment (hereinafter - ASM) - an automated system for industrial environmental monitoring that monitors the indicators of emissions into the environment at the main stationary sources of emissions, which provides data transfer to the information system for monitoring emissions into the environment in real time in in accordance with the rules for maintaining an automated system for monitoring emissions into the environment during industrial environmental control;</w:t>
      </w:r>
    </w:p>
    <w:bookmarkEnd w:id="17"/>
    <w:bookmarkStart w:name="z21" w:id="18"/>
    <w:p>
      <w:pPr>
        <w:spacing w:after="0"/>
        <w:ind w:left="0"/>
        <w:jc w:val="both"/>
      </w:pPr>
      <w:r>
        <w:rPr>
          <w:rFonts w:ascii="Times New Roman"/>
          <w:b w:val="false"/>
          <w:i w:val="false"/>
          <w:color w:val="000000"/>
          <w:sz w:val="28"/>
        </w:rPr>
        <w:t>
      4) the authorized body in the field of environmental protection - the central executive body that manages and intersectoral coordination in the field of environmental protection and nature management, as well as its territorial bodies ;</w:t>
      </w:r>
    </w:p>
    <w:bookmarkEnd w:id="18"/>
    <w:bookmarkStart w:name="z22" w:id="19"/>
    <w:p>
      <w:pPr>
        <w:spacing w:after="0"/>
        <w:ind w:left="0"/>
        <w:jc w:val="both"/>
      </w:pPr>
      <w:r>
        <w:rPr>
          <w:rFonts w:ascii="Times New Roman"/>
          <w:b w:val="false"/>
          <w:i w:val="false"/>
          <w:color w:val="000000"/>
          <w:sz w:val="28"/>
        </w:rPr>
        <w:t>
      5) environmental pollution (hereinafter - pollution) - the presence in the atmospheric air, surface and ground waters, soil or on the earth's surface of pollutants , heat, noise, vibrations, electromagnetic fields, radiation in quantities (concentrations, levels) exceeding those established by the state environmental standards for environmental quality;</w:t>
      </w:r>
    </w:p>
    <w:bookmarkEnd w:id="19"/>
    <w:bookmarkStart w:name="z23" w:id="20"/>
    <w:p>
      <w:pPr>
        <w:spacing w:after="0"/>
        <w:ind w:left="0"/>
        <w:jc w:val="both"/>
      </w:pPr>
      <w:r>
        <w:rPr>
          <w:rFonts w:ascii="Times New Roman"/>
          <w:b w:val="false"/>
          <w:i w:val="false"/>
          <w:color w:val="000000"/>
          <w:sz w:val="28"/>
        </w:rPr>
        <w:t>
      6) environmental monitoring - a comprehensive system of observations, measurements, collection, accumulation, storage, accounting, systematization, generalization, processing and analysis of the data obtained in relation to the quality of the environment, provided by the state, as well as the production of environmental information based on them ;</w:t>
      </w:r>
    </w:p>
    <w:bookmarkEnd w:id="20"/>
    <w:bookmarkStart w:name="z24" w:id="21"/>
    <w:p>
      <w:pPr>
        <w:spacing w:after="0"/>
        <w:ind w:left="0"/>
        <w:jc w:val="both"/>
      </w:pPr>
      <w:r>
        <w:rPr>
          <w:rFonts w:ascii="Times New Roman"/>
          <w:b w:val="false"/>
          <w:i w:val="false"/>
          <w:color w:val="000000"/>
          <w:sz w:val="28"/>
        </w:rPr>
        <w:t>
      7) ecological permit - a document certifying the right of individual entrepreneurs and legal entities to carry out a negative impact on the environment and determining the environmental conditions for carrying out activities.</w:t>
      </w:r>
    </w:p>
    <w:bookmarkEnd w:id="21"/>
    <w:bookmarkStart w:name="z25" w:id="22"/>
    <w:p>
      <w:pPr>
        <w:spacing w:after="0"/>
        <w:ind w:left="0"/>
        <w:jc w:val="left"/>
      </w:pPr>
      <w:r>
        <w:rPr>
          <w:rFonts w:ascii="Times New Roman"/>
          <w:b/>
          <w:i w:val="false"/>
          <w:color w:val="000000"/>
        </w:rPr>
        <w:t xml:space="preserve"> Chapter 2. Requirements for the operation of the Objects</w:t>
      </w:r>
    </w:p>
    <w:bookmarkEnd w:id="22"/>
    <w:bookmarkStart w:name="z26" w:id="23"/>
    <w:p>
      <w:pPr>
        <w:spacing w:after="0"/>
        <w:ind w:left="0"/>
        <w:jc w:val="both"/>
      </w:pPr>
      <w:r>
        <w:rPr>
          <w:rFonts w:ascii="Times New Roman"/>
          <w:b w:val="false"/>
          <w:i w:val="false"/>
          <w:color w:val="000000"/>
          <w:sz w:val="28"/>
        </w:rPr>
        <w:t>
      3. Individuals or legal entities operating the Objects, their separate parts (hereinafter - the Object operators) inform the authorized body in the field of environmental protection of any planned changes that affect the environment. Significant changes in the Objects that adversely affect human health or the environment are made only if there is an environmental permission issued in accordance with Article 106 Environmental Code.</w:t>
      </w:r>
    </w:p>
    <w:bookmarkEnd w:id="23"/>
    <w:bookmarkStart w:name="z27" w:id="24"/>
    <w:p>
      <w:pPr>
        <w:spacing w:after="0"/>
        <w:ind w:left="0"/>
        <w:jc w:val="both"/>
      </w:pPr>
      <w:r>
        <w:rPr>
          <w:rFonts w:ascii="Times New Roman"/>
          <w:b w:val="false"/>
          <w:i w:val="false"/>
          <w:color w:val="000000"/>
          <w:sz w:val="28"/>
        </w:rPr>
        <w:t>
      4. The Facility Operators shall ensure that appropriate soil or groundwater contamination prevention measures are in place and that such measures are regularly monitored to prevent leaks, spills, incidents or accidents arising from equipment use or waste storage.</w:t>
      </w:r>
    </w:p>
    <w:bookmarkEnd w:id="24"/>
    <w:bookmarkStart w:name="z28" w:id="25"/>
    <w:p>
      <w:pPr>
        <w:spacing w:after="0"/>
        <w:ind w:left="0"/>
        <w:jc w:val="both"/>
      </w:pPr>
      <w:r>
        <w:rPr>
          <w:rFonts w:ascii="Times New Roman"/>
          <w:b w:val="false"/>
          <w:i w:val="false"/>
          <w:color w:val="000000"/>
          <w:sz w:val="28"/>
        </w:rPr>
        <w:t>
      In order to detect potential contamination of soils and groundwater at an early stage and take appropriate corrective actions to prevent the spread of pollution, environmental monitoring of soils and groundwater for the presence of relevant hazardous substances is carried out . When determining the frequency of environmental monitoring by the Facility operators, the type of activities, as well as the frequency and extent of monitoring, are taken into account.</w:t>
      </w:r>
    </w:p>
    <w:bookmarkEnd w:id="25"/>
    <w:bookmarkStart w:name="z29" w:id="26"/>
    <w:p>
      <w:pPr>
        <w:spacing w:after="0"/>
        <w:ind w:left="0"/>
        <w:jc w:val="both"/>
      </w:pPr>
      <w:r>
        <w:rPr>
          <w:rFonts w:ascii="Times New Roman"/>
          <w:b w:val="false"/>
          <w:i w:val="false"/>
          <w:color w:val="000000"/>
          <w:sz w:val="28"/>
        </w:rPr>
        <w:t>
      5. The state of soil and groundwater pollution is determined by generating information on the state of soil and groundwater pollution by the relevant hazardous substances (hereinafter referred to as the basic report).</w:t>
      </w:r>
    </w:p>
    <w:bookmarkEnd w:id="26"/>
    <w:bookmarkStart w:name="z30" w:id="27"/>
    <w:p>
      <w:pPr>
        <w:spacing w:after="0"/>
        <w:ind w:left="0"/>
        <w:jc w:val="both"/>
      </w:pPr>
      <w:r>
        <w:rPr>
          <w:rFonts w:ascii="Times New Roman"/>
          <w:b w:val="false"/>
          <w:i w:val="false"/>
          <w:color w:val="000000"/>
          <w:sz w:val="28"/>
        </w:rPr>
        <w:t>
      The base report reflects the condition of the site on which the Facility is located, as well as information on measurements of soils and groundwater, reflecting historical data on the operation of the site.</w:t>
      </w:r>
    </w:p>
    <w:bookmarkEnd w:id="27"/>
    <w:bookmarkStart w:name="z31" w:id="28"/>
    <w:p>
      <w:pPr>
        <w:spacing w:after="0"/>
        <w:ind w:left="0"/>
        <w:jc w:val="both"/>
      </w:pPr>
      <w:r>
        <w:rPr>
          <w:rFonts w:ascii="Times New Roman"/>
          <w:b w:val="false"/>
          <w:i w:val="false"/>
          <w:color w:val="000000"/>
          <w:sz w:val="28"/>
        </w:rPr>
        <w:t>
      6. The Facility operators submit a baseline report to the authorized body in the field of environmental protection once a half-year, no later than the 10th day of the month following the reporting half-year.</w:t>
      </w:r>
    </w:p>
    <w:bookmarkEnd w:id="28"/>
    <w:bookmarkStart w:name="z32" w:id="29"/>
    <w:p>
      <w:pPr>
        <w:spacing w:after="0"/>
        <w:ind w:left="0"/>
        <w:jc w:val="both"/>
      </w:pPr>
      <w:r>
        <w:rPr>
          <w:rFonts w:ascii="Times New Roman"/>
          <w:b w:val="false"/>
          <w:i w:val="false"/>
          <w:color w:val="000000"/>
          <w:sz w:val="28"/>
        </w:rPr>
        <w:t>
      7. The Facility Operator ensures the cleanliness of the surrounding area, which excludes the spread of individual waste fractions outside the bunkers of the receiving compartment, as well as the content in emissions and discharges of substances that do not exceed the standards established by Directive No. 2010/75/EC of the European Parliament and the Council of the European Union Emissions (On Integrated Pollution Prevention and Control).</w:t>
      </w:r>
    </w:p>
    <w:bookmarkEnd w:id="29"/>
    <w:bookmarkStart w:name="z33" w:id="30"/>
    <w:p>
      <w:pPr>
        <w:spacing w:after="0"/>
        <w:ind w:left="0"/>
        <w:jc w:val="both"/>
      </w:pPr>
      <w:r>
        <w:rPr>
          <w:rFonts w:ascii="Times New Roman"/>
          <w:b w:val="false"/>
          <w:i w:val="false"/>
          <w:color w:val="000000"/>
          <w:sz w:val="28"/>
        </w:rPr>
        <w:t>
      8. In case of malfunction or malfunction of the treatment equipment for more than twenty-four hours, the Facility operator does not operate the Facility. At the same time, the continuous operation of the Object does not exceed one hundred and twenty hours within 12 months.</w:t>
      </w:r>
    </w:p>
    <w:bookmarkEnd w:id="30"/>
    <w:bookmarkStart w:name="z34" w:id="31"/>
    <w:p>
      <w:pPr>
        <w:spacing w:after="0"/>
        <w:ind w:left="0"/>
        <w:jc w:val="both"/>
      </w:pPr>
      <w:r>
        <w:rPr>
          <w:rFonts w:ascii="Times New Roman"/>
          <w:b w:val="false"/>
          <w:i w:val="false"/>
          <w:color w:val="000000"/>
          <w:sz w:val="28"/>
        </w:rPr>
        <w:t>
      The authorized body in the field of environmental protection provides the opportunity to deviate from these terms if there is a need for energy supply, as well as to prevent a general increase in emissions resulting from the operation of another Facility.</w:t>
      </w:r>
    </w:p>
    <w:bookmarkEnd w:id="31"/>
    <w:bookmarkStart w:name="z35" w:id="32"/>
    <w:p>
      <w:pPr>
        <w:spacing w:after="0"/>
        <w:ind w:left="0"/>
        <w:jc w:val="both"/>
      </w:pPr>
      <w:r>
        <w:rPr>
          <w:rFonts w:ascii="Times New Roman"/>
          <w:b w:val="false"/>
          <w:i w:val="false"/>
          <w:color w:val="000000"/>
          <w:sz w:val="28"/>
        </w:rPr>
        <w:t>
      9. In order to ensure that there is no transboundary transfer of waste to facilities operating at lower environmental standards, operating conditions, technical requirements and emission thresholds for the Facilities are established and maintained in accordance with these Requirements and Directive No. 2010/75/EC of the European Parliament and of the Council of the European Union "On Industrial Emissions (On Comprehensive Pollution Prevention and Control)".</w:t>
      </w:r>
    </w:p>
    <w:bookmarkEnd w:id="32"/>
    <w:bookmarkStart w:name="z36" w:id="33"/>
    <w:p>
      <w:pPr>
        <w:spacing w:after="0"/>
        <w:ind w:left="0"/>
        <w:jc w:val="both"/>
      </w:pPr>
      <w:r>
        <w:rPr>
          <w:rFonts w:ascii="Times New Roman"/>
          <w:b w:val="false"/>
          <w:i w:val="false"/>
          <w:color w:val="000000"/>
          <w:sz w:val="28"/>
        </w:rPr>
        <w:t>
      10. The facility operates for at least 8,000 (eight thousand) hours per year.</w:t>
      </w:r>
    </w:p>
    <w:bookmarkEnd w:id="33"/>
    <w:bookmarkStart w:name="z37" w:id="34"/>
    <w:p>
      <w:pPr>
        <w:spacing w:after="0"/>
        <w:ind w:left="0"/>
        <w:jc w:val="both"/>
      </w:pPr>
      <w:r>
        <w:rPr>
          <w:rFonts w:ascii="Times New Roman"/>
          <w:b w:val="false"/>
          <w:i w:val="false"/>
          <w:color w:val="000000"/>
          <w:sz w:val="28"/>
        </w:rPr>
        <w:t>
      11. After acceptance of waste, manual and (or) automated selection and sorting of waste components is required, the types of which are included in the List of waste not subject to energy utilization, approved in accordance with paragraph 2 of article 324 of the Environmental Code.</w:t>
      </w:r>
    </w:p>
    <w:bookmarkEnd w:id="34"/>
    <w:bookmarkStart w:name="z38" w:id="35"/>
    <w:p>
      <w:pPr>
        <w:spacing w:after="0"/>
        <w:ind w:left="0"/>
        <w:jc w:val="both"/>
      </w:pPr>
      <w:r>
        <w:rPr>
          <w:rFonts w:ascii="Times New Roman"/>
          <w:b w:val="false"/>
          <w:i w:val="false"/>
          <w:color w:val="000000"/>
          <w:sz w:val="28"/>
        </w:rPr>
        <w:t>
      12. During the operation of the Facilities, an ASM is provided, installed at each organized source of emissions from incinerators and discharges (if any).</w:t>
      </w:r>
    </w:p>
    <w:bookmarkEnd w:id="35"/>
    <w:bookmarkStart w:name="z39" w:id="36"/>
    <w:p>
      <w:pPr>
        <w:spacing w:after="0"/>
        <w:ind w:left="0"/>
        <w:jc w:val="both"/>
      </w:pPr>
      <w:r>
        <w:rPr>
          <w:rFonts w:ascii="Times New Roman"/>
          <w:b w:val="false"/>
          <w:i w:val="false"/>
          <w:color w:val="000000"/>
          <w:sz w:val="28"/>
        </w:rPr>
        <w:t>
      The transfer of data from the ASM of the Facility to the information system of the authorized body in the field of environmental protection in online mode is provided.</w:t>
      </w:r>
    </w:p>
    <w:bookmarkEnd w:id="36"/>
    <w:bookmarkStart w:name="z40" w:id="37"/>
    <w:p>
      <w:pPr>
        <w:spacing w:after="0"/>
        <w:ind w:left="0"/>
        <w:jc w:val="both"/>
      </w:pPr>
      <w:r>
        <w:rPr>
          <w:rFonts w:ascii="Times New Roman"/>
          <w:b w:val="false"/>
          <w:i w:val="false"/>
          <w:color w:val="000000"/>
          <w:sz w:val="28"/>
        </w:rPr>
        <w:t>
      13. Slag and ash generated at the Facility are classified according to the waste classifier of the Republic of Kazakhstan, approved by the authorized body in the field of environmental protection in accordance with paragraph 1 of Article 338 of the Environmental Code. If the owner of the Object disagrees with the existing classification, it is necessary to conduct laboratory tests in accordance with the environmental legislation of the Republic of Kazakhstan.</w:t>
      </w:r>
    </w:p>
    <w:bookmarkEnd w:id="37"/>
    <w:bookmarkStart w:name="z41" w:id="38"/>
    <w:p>
      <w:pPr>
        <w:spacing w:after="0"/>
        <w:ind w:left="0"/>
        <w:jc w:val="both"/>
      </w:pPr>
      <w:r>
        <w:rPr>
          <w:rFonts w:ascii="Times New Roman"/>
          <w:b w:val="false"/>
          <w:i w:val="false"/>
          <w:color w:val="000000"/>
          <w:sz w:val="28"/>
        </w:rPr>
        <w:t>
      14. The facility for energy waste disposal ensures waste disposal at the landfill in the absence of technology for the neutralization of generated waste.</w:t>
      </w:r>
    </w:p>
    <w:bookmarkEnd w:id="38"/>
    <w:bookmarkStart w:name="z42" w:id="39"/>
    <w:p>
      <w:pPr>
        <w:spacing w:after="0"/>
        <w:ind w:left="0"/>
        <w:jc w:val="both"/>
      </w:pPr>
      <w:r>
        <w:rPr>
          <w:rFonts w:ascii="Times New Roman"/>
          <w:b w:val="false"/>
          <w:i w:val="false"/>
          <w:color w:val="000000"/>
          <w:sz w:val="28"/>
        </w:rPr>
        <w:t>
      15. In the event of an incident or accident that has a significant impact on the environment, the Facility operator ensures:</w:t>
      </w:r>
    </w:p>
    <w:bookmarkEnd w:id="39"/>
    <w:bookmarkStart w:name="z43" w:id="40"/>
    <w:p>
      <w:pPr>
        <w:spacing w:after="0"/>
        <w:ind w:left="0"/>
        <w:jc w:val="both"/>
      </w:pPr>
      <w:r>
        <w:rPr>
          <w:rFonts w:ascii="Times New Roman"/>
          <w:b w:val="false"/>
          <w:i w:val="false"/>
          <w:color w:val="000000"/>
          <w:sz w:val="28"/>
        </w:rPr>
        <w:t>
      1) immediately informing the authorized body in the field of environmental protection;</w:t>
      </w:r>
    </w:p>
    <w:bookmarkEnd w:id="40"/>
    <w:bookmarkStart w:name="z44" w:id="41"/>
    <w:p>
      <w:pPr>
        <w:spacing w:after="0"/>
        <w:ind w:left="0"/>
        <w:jc w:val="both"/>
      </w:pPr>
      <w:r>
        <w:rPr>
          <w:rFonts w:ascii="Times New Roman"/>
          <w:b w:val="false"/>
          <w:i w:val="false"/>
          <w:color w:val="000000"/>
          <w:sz w:val="28"/>
        </w:rPr>
        <w:t>
      2) taking measures to limit environmental consequences and to prevent potential incidents or accidents;</w:t>
      </w:r>
    </w:p>
    <w:bookmarkEnd w:id="41"/>
    <w:bookmarkStart w:name="z45" w:id="42"/>
    <w:p>
      <w:pPr>
        <w:spacing w:after="0"/>
        <w:ind w:left="0"/>
        <w:jc w:val="both"/>
      </w:pPr>
      <w:r>
        <w:rPr>
          <w:rFonts w:ascii="Times New Roman"/>
          <w:b w:val="false"/>
          <w:i w:val="false"/>
          <w:color w:val="000000"/>
          <w:sz w:val="28"/>
        </w:rPr>
        <w:t>
      16. If non-compliance with the terms of the permit poses an immediate danger to human health or creates a threat of adverse impact on the environment, the operation of the Facilities is suspended until the violations are eliminated.</w:t>
      </w:r>
    </w:p>
    <w:bookmarkEnd w:id="42"/>
    <w:bookmarkStart w:name="z46" w:id="43"/>
    <w:p>
      <w:pPr>
        <w:spacing w:after="0"/>
        <w:ind w:left="0"/>
        <w:jc w:val="both"/>
      </w:pPr>
      <w:r>
        <w:rPr>
          <w:rFonts w:ascii="Times New Roman"/>
          <w:b w:val="false"/>
          <w:i w:val="false"/>
          <w:color w:val="000000"/>
          <w:sz w:val="28"/>
        </w:rPr>
        <w:t>
      17. Emission Thresholds for Pollutants are applied at the point of release of emissions from the Facilities.</w:t>
      </w:r>
    </w:p>
    <w:bookmarkEnd w:id="43"/>
    <w:bookmarkStart w:name="z47" w:id="44"/>
    <w:p>
      <w:pPr>
        <w:spacing w:after="0"/>
        <w:ind w:left="0"/>
        <w:jc w:val="both"/>
      </w:pPr>
      <w:r>
        <w:rPr>
          <w:rFonts w:ascii="Times New Roman"/>
          <w:b w:val="false"/>
          <w:i w:val="false"/>
          <w:color w:val="000000"/>
          <w:sz w:val="28"/>
        </w:rPr>
        <w:t>
      18. If treatment equipment fails, the Facility operator reduces or terminates its operation if return to normal operation is not provided within twenty-four hours.</w:t>
      </w:r>
    </w:p>
    <w:bookmarkEnd w:id="44"/>
    <w:bookmarkStart w:name="z48" w:id="45"/>
    <w:p>
      <w:pPr>
        <w:spacing w:after="0"/>
        <w:ind w:left="0"/>
        <w:jc w:val="both"/>
      </w:pPr>
      <w:r>
        <w:rPr>
          <w:rFonts w:ascii="Times New Roman"/>
          <w:b w:val="false"/>
          <w:i w:val="false"/>
          <w:color w:val="000000"/>
          <w:sz w:val="28"/>
        </w:rPr>
        <w:t>
      The Facility Operator notifies the authorized body in the field of environmental protection within forty-eight hours after the occurrence of a malfunction or malfunction of the treatment equipment.</w:t>
      </w:r>
    </w:p>
    <w:bookmarkEnd w:id="45"/>
    <w:bookmarkStart w:name="z49" w:id="46"/>
    <w:p>
      <w:pPr>
        <w:spacing w:after="0"/>
        <w:ind w:left="0"/>
        <w:jc w:val="both"/>
      </w:pPr>
      <w:r>
        <w:rPr>
          <w:rFonts w:ascii="Times New Roman"/>
          <w:b w:val="false"/>
          <w:i w:val="false"/>
          <w:color w:val="000000"/>
          <w:sz w:val="28"/>
        </w:rPr>
        <w:t>
      The total duration of work without cleaning equipment does not exceed one hundred and twenty hours for any period equal to twelve months.</w:t>
      </w:r>
    </w:p>
    <w:bookmarkEnd w:id="46"/>
    <w:bookmarkStart w:name="z50" w:id="47"/>
    <w:p>
      <w:pPr>
        <w:spacing w:after="0"/>
        <w:ind w:left="0"/>
        <w:jc w:val="both"/>
      </w:pPr>
      <w:r>
        <w:rPr>
          <w:rFonts w:ascii="Times New Roman"/>
          <w:b w:val="false"/>
          <w:i w:val="false"/>
          <w:color w:val="000000"/>
          <w:sz w:val="28"/>
        </w:rPr>
        <w:t>
      19. The Operator of the Facility informs the authorized body in the field of environmental protection about the planned changes in the nature or functioning, as well as about the planned expansion of the Facility.</w:t>
      </w:r>
    </w:p>
    <w:bookmarkEnd w:id="47"/>
    <w:bookmarkStart w:name="z51" w:id="48"/>
    <w:p>
      <w:pPr>
        <w:spacing w:after="0"/>
        <w:ind w:left="0"/>
        <w:jc w:val="both"/>
      </w:pPr>
      <w:r>
        <w:rPr>
          <w:rFonts w:ascii="Times New Roman"/>
          <w:b w:val="false"/>
          <w:i w:val="false"/>
          <w:color w:val="000000"/>
          <w:sz w:val="28"/>
        </w:rPr>
        <w:t>
      20. Environmental conditions permits are reviewed and adjusted to meet the requirements of the Environmental Code .</w:t>
      </w:r>
    </w:p>
    <w:bookmarkEnd w:id="48"/>
    <w:bookmarkStart w:name="z52" w:id="49"/>
    <w:p>
      <w:pPr>
        <w:spacing w:after="0"/>
        <w:ind w:left="0"/>
        <w:jc w:val="both"/>
      </w:pPr>
      <w:r>
        <w:rPr>
          <w:rFonts w:ascii="Times New Roman"/>
          <w:b w:val="false"/>
          <w:i w:val="false"/>
          <w:color w:val="000000"/>
          <w:sz w:val="28"/>
        </w:rPr>
        <w:t>
      21. Emission of gaseous waste from the Facilities is carried out under control through a chimney containing one or more gas ducts.</w:t>
      </w:r>
    </w:p>
    <w:bookmarkEnd w:id="49"/>
    <w:bookmarkStart w:name="z53" w:id="50"/>
    <w:p>
      <w:pPr>
        <w:spacing w:after="0"/>
        <w:ind w:left="0"/>
        <w:jc w:val="both"/>
      </w:pPr>
      <w:r>
        <w:rPr>
          <w:rFonts w:ascii="Times New Roman"/>
          <w:b w:val="false"/>
          <w:i w:val="false"/>
          <w:color w:val="000000"/>
          <w:sz w:val="28"/>
        </w:rPr>
        <w:t>
      22. The environmental permits for the Facility provide for threshold values for emissions into the atmospheric air from such Facility that do not exceed the emission thresholds established in Directive No. 2010/75 / EC of the European Parliament and the Council of the European Union control over it).</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