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b41f" w14:textId="5c3b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an Opinion on the Transboundary Movement of Hazardous Waste through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387 of the Minister of Ecology, Geology and Natural Resources of September 27, 2021. Registered with the Ministry of Justice of the Republic of Kazakhstan on September 28, 2021 under No. 24543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Under paragraph 3 of Article 346 of the Environmental Code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Issuing an Opinion on Transboundary Movement of Hazardous Waste through the Territory of the Republic of Kazakhstan shall be approved.</w:t>
      </w:r>
    </w:p>
    <w:bookmarkEnd w:id="1"/>
    <w:bookmarkStart w:name="z3" w:id="2"/>
    <w:p>
      <w:pPr>
        <w:spacing w:after="0"/>
        <w:ind w:left="0"/>
        <w:jc w:val="both"/>
      </w:pPr>
      <w:r>
        <w:rPr>
          <w:rFonts w:ascii="Times New Roman"/>
          <w:b w:val="false"/>
          <w:i w:val="false"/>
          <w:color w:val="000000"/>
          <w:sz w:val="28"/>
        </w:rPr>
        <w:t>
      2. That in line with legislation, the Department of State Policy in Waste Management of the Ministry of Ecology, Geology and Natural Resources of the Republic of Kazakhstan shall ensure:</w:t>
      </w:r>
    </w:p>
    <w:bookmarkEnd w:id="2"/>
    <w:bookmarkStart w:name="z4" w:id="3"/>
    <w:p>
      <w:pPr>
        <w:spacing w:after="0"/>
        <w:ind w:left="0"/>
        <w:jc w:val="both"/>
      </w:pPr>
      <w:r>
        <w:rPr>
          <w:rFonts w:ascii="Times New Roman"/>
          <w:b w:val="false"/>
          <w:i w:val="false"/>
          <w:color w:val="000000"/>
          <w:sz w:val="28"/>
        </w:rPr>
        <w:t>
      1)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the placement hereof on the website of the Ministry of Ecology, Geology and Natural Resources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the submission to the Legal Service Department of the Ministry of Ecology, Geology and Natural Resources of the Republic of Kazakhstan of information on the implementation of the measures envisaged in sub-paragraphs 1) and 2) of this paragraph.</w:t>
      </w:r>
    </w:p>
    <w:bookmarkEnd w:id="5"/>
    <w:bookmarkStart w:name="z7" w:id="6"/>
    <w:p>
      <w:pPr>
        <w:spacing w:after="0"/>
        <w:ind w:left="0"/>
        <w:jc w:val="both"/>
      </w:pPr>
      <w:r>
        <w:rPr>
          <w:rFonts w:ascii="Times New Roman"/>
          <w:b w:val="false"/>
          <w:i w:val="false"/>
          <w:color w:val="000000"/>
          <w:sz w:val="28"/>
        </w:rPr>
        <w:t>
      3. That the Supervising Vice-Minister of Ecology, Geology and Natural Resources of the Republic of Kazakhstan shall be entrusted with the supervision of the execution hereof.</w:t>
      </w:r>
    </w:p>
    <w:bookmarkEnd w:id="6"/>
    <w:bookmarkStart w:name="z8" w:id="7"/>
    <w:p>
      <w:pPr>
        <w:spacing w:after="0"/>
        <w:ind w:left="0"/>
        <w:jc w:val="both"/>
      </w:pPr>
      <w:r>
        <w:rPr>
          <w:rFonts w:ascii="Times New Roman"/>
          <w:b w:val="false"/>
          <w:i w:val="false"/>
          <w:color w:val="000000"/>
          <w:sz w:val="28"/>
        </w:rPr>
        <w:t>
      4. That this order shall enter into force from the date of its first official publication and shall apply to legal relations arising from July 1, 2021.</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Ecology, Geology</w:t>
            </w:r>
          </w:p>
          <w:p>
            <w:pPr>
              <w:spacing w:after="20"/>
              <w:ind w:left="20"/>
              <w:jc w:val="both"/>
            </w:pPr>
          </w:p>
          <w:p>
            <w:pPr>
              <w:spacing w:after="20"/>
              <w:ind w:left="20"/>
              <w:jc w:val="both"/>
            </w:pPr>
            <w:r>
              <w:rPr>
                <w:rFonts w:ascii="Times New Roman"/>
                <w:b w:val="false"/>
                <w:i/>
                <w:color w:val="000000"/>
                <w:sz w:val="20"/>
              </w:rPr>
              <w:t>and Natural Resources</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 Brekeshev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“APPROVED BY”</w:t>
      </w:r>
    </w:p>
    <w:bookmarkEnd w:id="8"/>
    <w:p>
      <w:pPr>
        <w:spacing w:after="0"/>
        <w:ind w:left="0"/>
        <w:jc w:val="both"/>
      </w:pPr>
      <w:r>
        <w:rPr>
          <w:rFonts w:ascii="Times New Roman"/>
          <w:b w:val="false"/>
          <w:i w:val="false"/>
          <w:color w:val="000000"/>
          <w:sz w:val="28"/>
        </w:rPr>
        <w:t>Ministry of Foreign Affairs</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“APPROVED BY”</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“APPROVED BY”</w:t>
      </w:r>
    </w:p>
    <w:bookmarkEnd w:id="10"/>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of Ecology, Geology and</w:t>
            </w:r>
            <w:r>
              <w:br/>
            </w:r>
            <w:r>
              <w:rPr>
                <w:rFonts w:ascii="Times New Roman"/>
                <w:b w:val="false"/>
                <w:i w:val="false"/>
                <w:color w:val="000000"/>
                <w:sz w:val="20"/>
              </w:rPr>
              <w:t xml:space="preserve"> Natural Resources of the</w:t>
            </w:r>
            <w:r>
              <w:br/>
            </w:r>
            <w:r>
              <w:rPr>
                <w:rFonts w:ascii="Times New Roman"/>
                <w:b w:val="false"/>
                <w:i w:val="false"/>
                <w:color w:val="000000"/>
                <w:sz w:val="20"/>
              </w:rPr>
              <w:t xml:space="preserve"> Republic of Kazakhstan </w:t>
            </w:r>
            <w:r>
              <w:br/>
            </w:r>
            <w:r>
              <w:rPr>
                <w:rFonts w:ascii="Times New Roman"/>
                <w:b w:val="false"/>
                <w:i w:val="false"/>
                <w:color w:val="000000"/>
                <w:sz w:val="20"/>
              </w:rPr>
              <w:t xml:space="preserve">No. 387 of September 27, 2021 </w:t>
            </w:r>
          </w:p>
        </w:tc>
      </w:tr>
    </w:tbl>
    <w:bookmarkStart w:name="z14" w:id="11"/>
    <w:p>
      <w:pPr>
        <w:spacing w:after="0"/>
        <w:ind w:left="0"/>
        <w:jc w:val="left"/>
      </w:pPr>
      <w:r>
        <w:rPr>
          <w:rFonts w:ascii="Times New Roman"/>
          <w:b/>
          <w:i w:val="false"/>
          <w:color w:val="000000"/>
        </w:rPr>
        <w:t xml:space="preserve"> Rules for Issuing an Opinion on the Transboundary Movement of Hazardous Waste through the Territory of the Republic of Kazakhstan</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 Rules for Issuing an Opinion on Transboundary Movement of Hazardous Wastes through the Territory of the Republic of Kazakhstan (hereinafter, the Rules) have been developed as per paragraph 3 of Article 346 of the Environmental Code of the Republic of Kazakhstan (hereinafter, the Code), the Basel Convention on the Control of Transboundary Movement of Hazardous Wastes and their Disposal of March 22, 1989 (hereinafter, the Basel Convention) and establish the procedure for importing waste into, exporting waste from and transiting waste through the territory of the Republic of Kazakhstan.</w:t>
      </w:r>
    </w:p>
    <w:bookmarkEnd w:id="13"/>
    <w:bookmarkStart w:name="z17" w:id="14"/>
    <w:p>
      <w:pPr>
        <w:spacing w:after="0"/>
        <w:ind w:left="0"/>
        <w:jc w:val="both"/>
      </w:pPr>
      <w:r>
        <w:rPr>
          <w:rFonts w:ascii="Times New Roman"/>
          <w:b w:val="false"/>
          <w:i w:val="false"/>
          <w:color w:val="000000"/>
          <w:sz w:val="28"/>
        </w:rPr>
        <w:t>
      2. The following terms and definitions are used herein:</w:t>
      </w:r>
    </w:p>
    <w:bookmarkEnd w:id="14"/>
    <w:bookmarkStart w:name="z18" w:id="15"/>
    <w:p>
      <w:pPr>
        <w:spacing w:after="0"/>
        <w:ind w:left="0"/>
        <w:jc w:val="both"/>
      </w:pPr>
      <w:r>
        <w:rPr>
          <w:rFonts w:ascii="Times New Roman"/>
          <w:b w:val="false"/>
          <w:i w:val="false"/>
          <w:color w:val="000000"/>
          <w:sz w:val="28"/>
        </w:rPr>
        <w:t>
      1) a designated centre - the competent authority in the field of environmental protection of the Republic of Kazakhstan;</w:t>
      </w:r>
    </w:p>
    <w:bookmarkEnd w:id="15"/>
    <w:bookmarkStart w:name="z19" w:id="16"/>
    <w:p>
      <w:pPr>
        <w:spacing w:after="0"/>
        <w:ind w:left="0"/>
        <w:jc w:val="both"/>
      </w:pPr>
      <w:r>
        <w:rPr>
          <w:rFonts w:ascii="Times New Roman"/>
          <w:b w:val="false"/>
          <w:i w:val="false"/>
          <w:color w:val="000000"/>
          <w:sz w:val="28"/>
        </w:rPr>
        <w:t>
      2) hazardous waste - is waste with one or more of the properties stipulated in paragraph 1 of Article 342 of the Code;</w:t>
      </w:r>
    </w:p>
    <w:bookmarkEnd w:id="16"/>
    <w:bookmarkStart w:name="z20" w:id="17"/>
    <w:p>
      <w:pPr>
        <w:spacing w:after="0"/>
        <w:ind w:left="0"/>
        <w:jc w:val="both"/>
      </w:pPr>
      <w:r>
        <w:rPr>
          <w:rFonts w:ascii="Times New Roman"/>
          <w:b w:val="false"/>
          <w:i w:val="false"/>
          <w:color w:val="000000"/>
          <w:sz w:val="28"/>
        </w:rPr>
        <w:t>
      3) transboundary movement of waste - any movement of hazardous or other wastes from an area under the national jurisdiction of one state to or through an area under the national jurisdiction of another state or to or through an area not under the national jurisdiction of any state, provided that such movement affects at least two states;</w:t>
      </w:r>
    </w:p>
    <w:bookmarkEnd w:id="17"/>
    <w:bookmarkStart w:name="z21" w:id="18"/>
    <w:p>
      <w:pPr>
        <w:spacing w:after="0"/>
        <w:ind w:left="0"/>
        <w:jc w:val="both"/>
      </w:pPr>
      <w:r>
        <w:rPr>
          <w:rFonts w:ascii="Times New Roman"/>
          <w:b w:val="false"/>
          <w:i w:val="false"/>
          <w:color w:val="000000"/>
          <w:sz w:val="28"/>
        </w:rPr>
        <w:t>
      4) competent authority in the field of environmental protection - the central executive body responsible for administration and inter-sectoral coordination in the field of environmental protection and use of natural resources, as well as its territorial bodies;</w:t>
      </w:r>
    </w:p>
    <w:bookmarkEnd w:id="18"/>
    <w:bookmarkStart w:name="z22" w:id="19"/>
    <w:p>
      <w:pPr>
        <w:spacing w:after="0"/>
        <w:ind w:left="0"/>
        <w:jc w:val="both"/>
      </w:pPr>
      <w:r>
        <w:rPr>
          <w:rFonts w:ascii="Times New Roman"/>
          <w:b w:val="false"/>
          <w:i w:val="false"/>
          <w:color w:val="000000"/>
          <w:sz w:val="28"/>
        </w:rPr>
        <w:t>
      5) competent authority - public authorities responsible for border, transport and customs control, the competent authority for environmental protection, industrial safety and the sanitary and epidemiological service authorities.</w:t>
      </w:r>
    </w:p>
    <w:bookmarkEnd w:id="19"/>
    <w:bookmarkStart w:name="z23" w:id="20"/>
    <w:p>
      <w:pPr>
        <w:spacing w:after="0"/>
        <w:ind w:left="0"/>
        <w:jc w:val="both"/>
      </w:pPr>
      <w:r>
        <w:rPr>
          <w:rFonts w:ascii="Times New Roman"/>
          <w:b w:val="false"/>
          <w:i w:val="false"/>
          <w:color w:val="000000"/>
          <w:sz w:val="28"/>
        </w:rPr>
        <w:t>
      Other concepts and definitions used herein shall be applied pursuant to international treaties ratified by the Republic of Kazakhstan and the legislation of the Republic of Kazakhstan.</w:t>
      </w:r>
    </w:p>
    <w:bookmarkEnd w:id="20"/>
    <w:bookmarkStart w:name="z24" w:id="21"/>
    <w:p>
      <w:pPr>
        <w:spacing w:after="0"/>
        <w:ind w:left="0"/>
        <w:jc w:val="left"/>
      </w:pPr>
      <w:r>
        <w:rPr>
          <w:rFonts w:ascii="Times New Roman"/>
          <w:b/>
          <w:i w:val="false"/>
          <w:color w:val="000000"/>
        </w:rPr>
        <w:t xml:space="preserve"> Chapter 2. Procedure for issuing an Opinion on the Transboundary Movement of Hazardous Waste</w:t>
      </w:r>
    </w:p>
    <w:bookmarkEnd w:id="21"/>
    <w:bookmarkStart w:name="z25" w:id="22"/>
    <w:p>
      <w:pPr>
        <w:spacing w:after="0"/>
        <w:ind w:left="0"/>
        <w:jc w:val="both"/>
      </w:pPr>
      <w:r>
        <w:rPr>
          <w:rFonts w:ascii="Times New Roman"/>
          <w:b w:val="false"/>
          <w:i w:val="false"/>
          <w:color w:val="000000"/>
          <w:sz w:val="28"/>
        </w:rPr>
        <w:t>
      3. Transboundary movement of waste through the territory of the Republic of Kazakhstan shall be performed upon the conclusion of the competent authority in the field of environmental protection.</w:t>
      </w:r>
    </w:p>
    <w:bookmarkEnd w:id="22"/>
    <w:bookmarkStart w:name="z26" w:id="23"/>
    <w:p>
      <w:pPr>
        <w:spacing w:after="0"/>
        <w:ind w:left="0"/>
        <w:jc w:val="both"/>
      </w:pPr>
      <w:r>
        <w:rPr>
          <w:rFonts w:ascii="Times New Roman"/>
          <w:b w:val="false"/>
          <w:i w:val="false"/>
          <w:color w:val="000000"/>
          <w:sz w:val="28"/>
        </w:rPr>
        <w:t>
      4. Disposal of waste from the territory of the Republic of Kazakhstan and transit of waste through the territory of the Republic of Kazakhstan shall be subject to the consent in writing of the competent authority of the state to the territory of which the waste is being imported.</w:t>
      </w:r>
    </w:p>
    <w:bookmarkEnd w:id="23"/>
    <w:bookmarkStart w:name="z27" w:id="24"/>
    <w:p>
      <w:pPr>
        <w:spacing w:after="0"/>
        <w:ind w:left="0"/>
        <w:jc w:val="both"/>
      </w:pPr>
      <w:r>
        <w:rPr>
          <w:rFonts w:ascii="Times New Roman"/>
          <w:b w:val="false"/>
          <w:i w:val="false"/>
          <w:color w:val="000000"/>
          <w:sz w:val="28"/>
        </w:rPr>
        <w:t>
      In order to obtain the consent of the competent authority of the state into the territory of which the waste is being imported, natural or legal persons shall submit the documents specified in the list provided for in paragraph 6 hereof.</w:t>
      </w:r>
    </w:p>
    <w:bookmarkEnd w:id="24"/>
    <w:bookmarkStart w:name="z28" w:id="25"/>
    <w:p>
      <w:pPr>
        <w:spacing w:after="0"/>
        <w:ind w:left="0"/>
        <w:jc w:val="both"/>
      </w:pPr>
      <w:r>
        <w:rPr>
          <w:rFonts w:ascii="Times New Roman"/>
          <w:b w:val="false"/>
          <w:i w:val="false"/>
          <w:color w:val="000000"/>
          <w:sz w:val="28"/>
        </w:rPr>
        <w:t>
      5. The designated competent authority in the field of environmental protection shall notify in writing the competent authorities of the states concerned of the intended transboundary movement of hazardous wastes, specifying the effects of the proposed movement on human health and the environment. Such information shall be provided in the notification of a transboundary movement of hazardous wastes, as per Annex 1 hereto.</w:t>
      </w:r>
    </w:p>
    <w:bookmarkEnd w:id="25"/>
    <w:bookmarkStart w:name="z29" w:id="26"/>
    <w:p>
      <w:pPr>
        <w:spacing w:after="0"/>
        <w:ind w:left="0"/>
        <w:jc w:val="both"/>
      </w:pPr>
      <w:r>
        <w:rPr>
          <w:rFonts w:ascii="Times New Roman"/>
          <w:b w:val="false"/>
          <w:i w:val="false"/>
          <w:color w:val="000000"/>
          <w:sz w:val="28"/>
        </w:rPr>
        <w:t>
      6. The following must be submitted by individuals and legal entities to obtain a permit for the transboundary movement of waste through the territory of the Republic of Kazakhstan:</w:t>
      </w:r>
    </w:p>
    <w:bookmarkEnd w:id="26"/>
    <w:bookmarkStart w:name="z30" w:id="27"/>
    <w:p>
      <w:pPr>
        <w:spacing w:after="0"/>
        <w:ind w:left="0"/>
        <w:jc w:val="both"/>
      </w:pPr>
      <w:r>
        <w:rPr>
          <w:rFonts w:ascii="Times New Roman"/>
          <w:b w:val="false"/>
          <w:i w:val="false"/>
          <w:color w:val="000000"/>
          <w:sz w:val="28"/>
        </w:rPr>
        <w:t>
      1) an application for waste transit, signed by the applicant, stamped (if any) for legal entities, stating residence for individuals and location for legal entities and a list of documents to be enclosed;</w:t>
      </w:r>
    </w:p>
    <w:bookmarkEnd w:id="27"/>
    <w:bookmarkStart w:name="z31" w:id="28"/>
    <w:p>
      <w:pPr>
        <w:spacing w:after="0"/>
        <w:ind w:left="0"/>
        <w:jc w:val="both"/>
      </w:pPr>
      <w:r>
        <w:rPr>
          <w:rFonts w:ascii="Times New Roman"/>
          <w:b w:val="false"/>
          <w:i w:val="false"/>
          <w:color w:val="000000"/>
          <w:sz w:val="28"/>
        </w:rPr>
        <w:t>
      2) a copy of the contract (agreement) for the sale of waste or other contract of disposal between the parties to the foreign trade transaction;</w:t>
      </w:r>
    </w:p>
    <w:bookmarkEnd w:id="28"/>
    <w:bookmarkStart w:name="z32" w:id="29"/>
    <w:p>
      <w:pPr>
        <w:spacing w:after="0"/>
        <w:ind w:left="0"/>
        <w:jc w:val="both"/>
      </w:pPr>
      <w:r>
        <w:rPr>
          <w:rFonts w:ascii="Times New Roman"/>
          <w:b w:val="false"/>
          <w:i w:val="false"/>
          <w:color w:val="000000"/>
          <w:sz w:val="28"/>
        </w:rPr>
        <w:t>
      3) a copy of the contract between the exporter and the producer or importer and the consumer of the goods, if the applicant is an intermediary;</w:t>
      </w:r>
    </w:p>
    <w:bookmarkEnd w:id="29"/>
    <w:bookmarkStart w:name="z33" w:id="30"/>
    <w:p>
      <w:pPr>
        <w:spacing w:after="0"/>
        <w:ind w:left="0"/>
        <w:jc w:val="both"/>
      </w:pPr>
      <w:r>
        <w:rPr>
          <w:rFonts w:ascii="Times New Roman"/>
          <w:b w:val="false"/>
          <w:i w:val="false"/>
          <w:color w:val="000000"/>
          <w:sz w:val="28"/>
        </w:rPr>
        <w:t>
      4) written consent of the competent authority of the state to which the waste is being imported under the Basel Convention;</w:t>
      </w:r>
    </w:p>
    <w:bookmarkEnd w:id="30"/>
    <w:bookmarkStart w:name="z34" w:id="31"/>
    <w:p>
      <w:pPr>
        <w:spacing w:after="0"/>
        <w:ind w:left="0"/>
        <w:jc w:val="both"/>
      </w:pPr>
      <w:r>
        <w:rPr>
          <w:rFonts w:ascii="Times New Roman"/>
          <w:b w:val="false"/>
          <w:i w:val="false"/>
          <w:color w:val="000000"/>
          <w:sz w:val="28"/>
        </w:rPr>
        <w:t>
      5) copies of the transport contract (agreement) and of the contract between the exporter and the person responsible for waste disposal, which stipulate the environmentally sound management of the waste;</w:t>
      </w:r>
    </w:p>
    <w:bookmarkEnd w:id="31"/>
    <w:bookmarkStart w:name="z35" w:id="32"/>
    <w:p>
      <w:pPr>
        <w:spacing w:after="0"/>
        <w:ind w:left="0"/>
        <w:jc w:val="both"/>
      </w:pPr>
      <w:r>
        <w:rPr>
          <w:rFonts w:ascii="Times New Roman"/>
          <w:b w:val="false"/>
          <w:i w:val="false"/>
          <w:color w:val="000000"/>
          <w:sz w:val="28"/>
        </w:rPr>
        <w:t>
      6) a notification on transboundary movement of hazardous wastes (in triplicate) as per Annex 1 hereto;</w:t>
      </w:r>
    </w:p>
    <w:bookmarkEnd w:id="32"/>
    <w:bookmarkStart w:name="z36" w:id="33"/>
    <w:p>
      <w:pPr>
        <w:spacing w:after="0"/>
        <w:ind w:left="0"/>
        <w:jc w:val="both"/>
      </w:pPr>
      <w:r>
        <w:rPr>
          <w:rFonts w:ascii="Times New Roman"/>
          <w:b w:val="false"/>
          <w:i w:val="false"/>
          <w:color w:val="000000"/>
          <w:sz w:val="28"/>
        </w:rPr>
        <w:t>
      7) a copy of the compulsory environmental insurance policy;</w:t>
      </w:r>
    </w:p>
    <w:bookmarkEnd w:id="33"/>
    <w:bookmarkStart w:name="z37" w:id="34"/>
    <w:p>
      <w:pPr>
        <w:spacing w:after="0"/>
        <w:ind w:left="0"/>
        <w:jc w:val="both"/>
      </w:pPr>
      <w:r>
        <w:rPr>
          <w:rFonts w:ascii="Times New Roman"/>
          <w:b w:val="false"/>
          <w:i w:val="false"/>
          <w:color w:val="000000"/>
          <w:sz w:val="28"/>
        </w:rPr>
        <w:t>
      8) a copy of the emergency contingency plan;</w:t>
      </w:r>
    </w:p>
    <w:bookmarkEnd w:id="34"/>
    <w:bookmarkStart w:name="z38" w:id="35"/>
    <w:p>
      <w:pPr>
        <w:spacing w:after="0"/>
        <w:ind w:left="0"/>
        <w:jc w:val="both"/>
      </w:pPr>
      <w:r>
        <w:rPr>
          <w:rFonts w:ascii="Times New Roman"/>
          <w:b w:val="false"/>
          <w:i w:val="false"/>
          <w:color w:val="000000"/>
          <w:sz w:val="28"/>
        </w:rPr>
        <w:t>
      9) a copy of the hazardous waste passport in the form approved by Order No. 335 of the Minister of Ecology, Geology and Natural Resources of August 20, 2021 (recorded in the Register of State Registration of Legal and Regulatory Acts under No. 24386);</w:t>
      </w:r>
    </w:p>
    <w:bookmarkEnd w:id="35"/>
    <w:bookmarkStart w:name="z39" w:id="36"/>
    <w:p>
      <w:pPr>
        <w:spacing w:after="0"/>
        <w:ind w:left="0"/>
        <w:jc w:val="both"/>
      </w:pPr>
      <w:r>
        <w:rPr>
          <w:rFonts w:ascii="Times New Roman"/>
          <w:b w:val="false"/>
          <w:i w:val="false"/>
          <w:color w:val="000000"/>
          <w:sz w:val="28"/>
        </w:rPr>
        <w:t>
      10) the waste transport document (in triplicate) in the form shown in Annex 3 hereto.</w:t>
      </w:r>
    </w:p>
    <w:bookmarkEnd w:id="36"/>
    <w:bookmarkStart w:name="z40" w:id="37"/>
    <w:p>
      <w:pPr>
        <w:spacing w:after="0"/>
        <w:ind w:left="0"/>
        <w:jc w:val="both"/>
      </w:pPr>
      <w:r>
        <w:rPr>
          <w:rFonts w:ascii="Times New Roman"/>
          <w:b w:val="false"/>
          <w:i w:val="false"/>
          <w:color w:val="000000"/>
          <w:sz w:val="28"/>
        </w:rPr>
        <w:t>
      7. Within 30 (thirty) working days after receipt of the documents specified in paragraph 6 hereof, in case of compliance of the submitted documents with the requirements specified herein, the competent authority in the field of environmental protection shall draw up an opinion on transboundary movement of waste in the form as per Annex 2 hereto and send (deliver) to the applicant, or a reasoned refusal in cases and on the grounds specified in Paragraph 8 hereof.</w:t>
      </w:r>
    </w:p>
    <w:bookmarkEnd w:id="37"/>
    <w:bookmarkStart w:name="z41" w:id="38"/>
    <w:p>
      <w:pPr>
        <w:spacing w:after="0"/>
        <w:ind w:left="0"/>
        <w:jc w:val="both"/>
      </w:pPr>
      <w:r>
        <w:rPr>
          <w:rFonts w:ascii="Times New Roman"/>
          <w:b w:val="false"/>
          <w:i w:val="false"/>
          <w:color w:val="000000"/>
          <w:sz w:val="28"/>
        </w:rPr>
        <w:t>
      8. If the documents do not meet the requirements specified in paragraph 6 hereof, within 10 (ten) working days of receipt of the documents, the competent authority for environmental protection shall notify the applicant in writing of the refusal to issue an opinion on the transboundary movement of waste, stating the reasons for the refusal.</w:t>
      </w:r>
    </w:p>
    <w:bookmarkEnd w:id="38"/>
    <w:bookmarkStart w:name="z42" w:id="39"/>
    <w:p>
      <w:pPr>
        <w:spacing w:after="0"/>
        <w:ind w:left="0"/>
        <w:jc w:val="both"/>
      </w:pPr>
      <w:r>
        <w:rPr>
          <w:rFonts w:ascii="Times New Roman"/>
          <w:b w:val="false"/>
          <w:i w:val="false"/>
          <w:color w:val="000000"/>
          <w:sz w:val="28"/>
        </w:rPr>
        <w:t>
      9. Grounds for refusing to issue an opinion shall include:</w:t>
      </w:r>
    </w:p>
    <w:bookmarkEnd w:id="39"/>
    <w:bookmarkStart w:name="z43" w:id="40"/>
    <w:p>
      <w:pPr>
        <w:spacing w:after="0"/>
        <w:ind w:left="0"/>
        <w:jc w:val="both"/>
      </w:pPr>
      <w:r>
        <w:rPr>
          <w:rFonts w:ascii="Times New Roman"/>
          <w:b w:val="false"/>
          <w:i w:val="false"/>
          <w:color w:val="000000"/>
          <w:sz w:val="28"/>
        </w:rPr>
        <w:t>
      1) finding that the documents submitted by natural and legal persons to obtain an opinion and/or the data (information) contained therein are unreliable;</w:t>
      </w:r>
    </w:p>
    <w:bookmarkEnd w:id="40"/>
    <w:bookmarkStart w:name="z44" w:id="41"/>
    <w:p>
      <w:pPr>
        <w:spacing w:after="0"/>
        <w:ind w:left="0"/>
        <w:jc w:val="both"/>
      </w:pPr>
      <w:r>
        <w:rPr>
          <w:rFonts w:ascii="Times New Roman"/>
          <w:b w:val="false"/>
          <w:i w:val="false"/>
          <w:color w:val="000000"/>
          <w:sz w:val="28"/>
        </w:rPr>
        <w:t>
      2) failure of individuals and legal entities and/or submitted materials, objects, data and information necessary for issuing an opinion to comply with the requirements established with the Basel Convention, Decision of the Board of the Eurasian Economic Commission No. 30 of April 21, 2015.</w:t>
      </w:r>
    </w:p>
    <w:bookmarkEnd w:id="41"/>
    <w:bookmarkStart w:name="z45" w:id="42"/>
    <w:p>
      <w:pPr>
        <w:spacing w:after="0"/>
        <w:ind w:left="0"/>
        <w:jc w:val="both"/>
      </w:pPr>
      <w:r>
        <w:rPr>
          <w:rFonts w:ascii="Times New Roman"/>
          <w:b w:val="false"/>
          <w:i w:val="false"/>
          <w:color w:val="000000"/>
          <w:sz w:val="28"/>
        </w:rPr>
        <w:t>
      In case of finding out the facts of incomplete submission of documents and (or) documents with expired validity, submitted to individuals and legal entities provided by paragraph 6 hereof, the designated centre shall issue a reasoned refusal to further consider the registration of the conclusion on transboundary movement of waste.</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Issuing an </w:t>
            </w:r>
            <w:r>
              <w:br/>
            </w:r>
            <w:r>
              <w:rPr>
                <w:rFonts w:ascii="Times New Roman"/>
                <w:b w:val="false"/>
                <w:i w:val="false"/>
                <w:color w:val="000000"/>
                <w:sz w:val="20"/>
              </w:rPr>
              <w:t xml:space="preserve">Opinion on the Transboundary </w:t>
            </w:r>
            <w:r>
              <w:br/>
            </w:r>
            <w:r>
              <w:rPr>
                <w:rFonts w:ascii="Times New Roman"/>
                <w:b w:val="false"/>
                <w:i w:val="false"/>
                <w:color w:val="000000"/>
                <w:sz w:val="20"/>
              </w:rPr>
              <w:t xml:space="preserve">Movement of Hazardous Waste </w:t>
            </w:r>
            <w:r>
              <w:br/>
            </w:r>
            <w:r>
              <w:rPr>
                <w:rFonts w:ascii="Times New Roman"/>
                <w:b w:val="false"/>
                <w:i w:val="false"/>
                <w:color w:val="000000"/>
                <w:sz w:val="20"/>
              </w:rPr>
              <w:t>through the Territory of the</w:t>
            </w:r>
            <w:r>
              <w:br/>
            </w:r>
            <w:r>
              <w:rPr>
                <w:rFonts w:ascii="Times New Roman"/>
                <w:b w:val="false"/>
                <w:i w:val="false"/>
                <w:color w:val="000000"/>
                <w:sz w:val="20"/>
              </w:rPr>
              <w:t xml:space="preserv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48" w:id="43"/>
    <w:p>
      <w:pPr>
        <w:spacing w:after="0"/>
        <w:ind w:left="0"/>
        <w:jc w:val="left"/>
      </w:pPr>
      <w:r>
        <w:rPr>
          <w:rFonts w:ascii="Times New Roman"/>
          <w:b/>
          <w:i w:val="false"/>
          <w:color w:val="000000"/>
        </w:rPr>
        <w:t xml:space="preserve"> Notification of transboundary movement of hazardous waste</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Notification relating to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xml:space="preserve">
Notification No. </w:t>
            </w:r>
          </w:p>
          <w:bookmarkEnd w:id="44"/>
          <w:p>
            <w:pPr>
              <w:spacing w:after="20"/>
              <w:ind w:left="20"/>
              <w:jc w:val="both"/>
            </w:pPr>
            <w:r>
              <w:rPr>
                <w:rFonts w:ascii="Times New Roman"/>
                <w:b w:val="false"/>
                <w:i w:val="false"/>
                <w:color w:val="000000"/>
                <w:sz w:val="20"/>
              </w:rPr>
              <w:t>
KZ0000____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 one-off transportation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c) placement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general notification (multiple transportation)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use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exporting: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Object for which permission has previously been granted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 (name,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Total planned number of deliveries: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Estimated amount of waste (3): kg (l)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Estimated delivery dates or periods (ok):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 responsible for waste disposal (name, address)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Proposed transporters (name, address))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Location/use facility (name, address):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Waste generator(s) (name, address)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waste management facility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Ways of locating/using it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Code D/Code R (4):</w:t>
            </w:r>
          </w:p>
          <w:bookmarkEnd w:id="45"/>
          <w:p>
            <w:pPr>
              <w:spacing w:after="20"/>
              <w:ind w:left="20"/>
              <w:jc w:val="both"/>
            </w:pPr>
            <w:r>
              <w:rPr>
                <w:rFonts w:ascii="Times New Roman"/>
                <w:b w:val="false"/>
                <w:i w:val="false"/>
                <w:color w:val="000000"/>
                <w:sz w:val="20"/>
              </w:rPr>
              <w:t>
Technology applied: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details if necessary)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Information on the contract concluded between the exporter and the person responsible for disposal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Information (including a technical description of the plant) forwarded to the exporter or manufacturer by the person responsible for the disposal, from which the latter concludes that the proposed disposal can be carried out in an environmentally sound manner and in conformity with the rules and regulations of the country of importation: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facility where the waste was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Type(s) of transportation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Type(s) of packaging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Details concerning insurance: (on relevant insurance requirements and how they are met by the exporter, transporter and person responsible for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insurance contract and policy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Name and chemical composition of the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Special handling requirements: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Physical characteristics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Waste identification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Number Ү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Waste Identification Code / European Waste Catalogue: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Waste Identification Code / European Waste Catalogue: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Number Н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OECD classification (1)yellow |_| red |_| green |_|/EWC: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a) UN identification: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b) UN class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(enclose a detailed description)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The countries concerned. Code number of competent authorities and designated points of entry and exit: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Exporting country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Importing country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Customs services of the point of entry and/or exit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Waste generator (exporter) declaration: I hereby confirm that this information is complete and true to the best of my knowledge. I also confirm that legally binding contractual obligations have been established in writing and that appropriate guarantees covering the transboundary movement of waste are in place.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Takeaway point: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Number of applications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filled in by the competent authorities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To be completed by the competent authority of the importing, transit country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Authorisation from the competent authority for transportation: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received by: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competent authority, seal (if any) and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sent to: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competent authority: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authorisation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(if any) and/or signature: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6"/>
    <w:p>
      <w:pPr>
        <w:spacing w:after="0"/>
        <w:ind w:left="0"/>
        <w:jc w:val="both"/>
      </w:pPr>
      <w:r>
        <w:rPr>
          <w:rFonts w:ascii="Times New Roman"/>
          <w:b w:val="false"/>
          <w:i w:val="false"/>
          <w:color w:val="000000"/>
          <w:sz w:val="28"/>
        </w:rPr>
        <w:t xml:space="preserve">
      Note: </w:t>
      </w:r>
    </w:p>
    <w:bookmarkEnd w:id="46"/>
    <w:bookmarkStart w:name="z52" w:id="47"/>
    <w:p>
      <w:pPr>
        <w:spacing w:after="0"/>
        <w:ind w:left="0"/>
        <w:jc w:val="both"/>
      </w:pPr>
      <w:r>
        <w:rPr>
          <w:rFonts w:ascii="Times New Roman"/>
          <w:b w:val="false"/>
          <w:i w:val="false"/>
          <w:color w:val="000000"/>
          <w:sz w:val="28"/>
        </w:rPr>
        <w:t xml:space="preserve">
      FEACN code – Foreign Economic Activity Commodity Nomenclature code </w:t>
      </w:r>
    </w:p>
    <w:bookmarkEnd w:id="47"/>
    <w:bookmarkStart w:name="z53" w:id="48"/>
    <w:p>
      <w:pPr>
        <w:spacing w:after="0"/>
        <w:ind w:left="0"/>
        <w:jc w:val="both"/>
      </w:pPr>
      <w:r>
        <w:rPr>
          <w:rFonts w:ascii="Times New Roman"/>
          <w:b w:val="false"/>
          <w:i w:val="false"/>
          <w:color w:val="000000"/>
          <w:sz w:val="28"/>
        </w:rPr>
        <w:t>
      OECD - Organisation for Economic Co-operation and Development</w:t>
      </w:r>
    </w:p>
    <w:bookmarkEnd w:id="48"/>
    <w:bookmarkStart w:name="z54" w:id="49"/>
    <w:p>
      <w:pPr>
        <w:spacing w:after="0"/>
        <w:ind w:left="0"/>
        <w:jc w:val="both"/>
      </w:pPr>
      <w:r>
        <w:rPr>
          <w:rFonts w:ascii="Times New Roman"/>
          <w:b w:val="false"/>
          <w:i w:val="false"/>
          <w:color w:val="000000"/>
          <w:sz w:val="28"/>
        </w:rPr>
        <w:t>
      IWIC code - International Waste Identification Code</w:t>
      </w:r>
    </w:p>
    <w:bookmarkEnd w:id="49"/>
    <w:bookmarkStart w:name="z55" w:id="50"/>
    <w:p>
      <w:pPr>
        <w:spacing w:after="0"/>
        <w:ind w:left="0"/>
        <w:jc w:val="both"/>
      </w:pPr>
      <w:r>
        <w:rPr>
          <w:rFonts w:ascii="Times New Roman"/>
          <w:b w:val="false"/>
          <w:i w:val="false"/>
          <w:color w:val="000000"/>
          <w:sz w:val="28"/>
        </w:rPr>
        <w:t>
      EWC - European Waste Catalogue</w:t>
      </w:r>
    </w:p>
    <w:bookmarkEnd w:id="50"/>
    <w:bookmarkStart w:name="z56" w:id="51"/>
    <w:p>
      <w:pPr>
        <w:spacing w:after="0"/>
        <w:ind w:left="0"/>
        <w:jc w:val="both"/>
      </w:pPr>
      <w:r>
        <w:rPr>
          <w:rFonts w:ascii="Times New Roman"/>
          <w:b w:val="false"/>
          <w:i w:val="false"/>
          <w:color w:val="000000"/>
          <w:sz w:val="28"/>
        </w:rPr>
        <w:t>
      OECD Classification - Classifications of Economic Cooperation and Development</w:t>
      </w:r>
    </w:p>
    <w:bookmarkEnd w:id="51"/>
    <w:bookmarkStart w:name="z57" w:id="52"/>
    <w:p>
      <w:pPr>
        <w:spacing w:after="0"/>
        <w:ind w:left="0"/>
        <w:jc w:val="both"/>
      </w:pPr>
      <w:r>
        <w:rPr>
          <w:rFonts w:ascii="Times New Roman"/>
          <w:b w:val="false"/>
          <w:i w:val="false"/>
          <w:color w:val="000000"/>
          <w:sz w:val="28"/>
        </w:rPr>
        <w:t>
      Number Ү, number H - waste type code according to classification</w:t>
      </w:r>
    </w:p>
    <w:bookmarkEnd w:id="52"/>
    <w:bookmarkStart w:name="z58" w:id="53"/>
    <w:p>
      <w:pPr>
        <w:spacing w:after="0"/>
        <w:ind w:left="0"/>
        <w:jc w:val="both"/>
      </w:pPr>
      <w:r>
        <w:rPr>
          <w:rFonts w:ascii="Times New Roman"/>
          <w:b w:val="false"/>
          <w:i w:val="false"/>
          <w:color w:val="000000"/>
          <w:sz w:val="28"/>
        </w:rPr>
        <w:t>
      D code - disposal operations</w:t>
      </w:r>
    </w:p>
    <w:bookmarkEnd w:id="53"/>
    <w:bookmarkStart w:name="z59" w:id="54"/>
    <w:p>
      <w:pPr>
        <w:spacing w:after="0"/>
        <w:ind w:left="0"/>
        <w:jc w:val="both"/>
      </w:pPr>
      <w:r>
        <w:rPr>
          <w:rFonts w:ascii="Times New Roman"/>
          <w:b w:val="false"/>
          <w:i w:val="false"/>
          <w:color w:val="000000"/>
          <w:sz w:val="28"/>
        </w:rPr>
        <w:t xml:space="preserve">
      R code - operations which may lead to recovery, recycling, disposal, direct reuse or alternative uses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Issuing an </w:t>
            </w:r>
            <w:r>
              <w:br/>
            </w:r>
            <w:r>
              <w:rPr>
                <w:rFonts w:ascii="Times New Roman"/>
                <w:b w:val="false"/>
                <w:i w:val="false"/>
                <w:color w:val="000000"/>
                <w:sz w:val="20"/>
              </w:rPr>
              <w:t xml:space="preserve">Opinion on the Transboundary </w:t>
            </w:r>
            <w:r>
              <w:br/>
            </w:r>
            <w:r>
              <w:rPr>
                <w:rFonts w:ascii="Times New Roman"/>
                <w:b w:val="false"/>
                <w:i w:val="false"/>
                <w:color w:val="000000"/>
                <w:sz w:val="20"/>
              </w:rPr>
              <w:t xml:space="preserve">Movement of Hazardous Waste </w:t>
            </w:r>
            <w:r>
              <w:br/>
            </w:r>
            <w:r>
              <w:rPr>
                <w:rFonts w:ascii="Times New Roman"/>
                <w:b w:val="false"/>
                <w:i w:val="false"/>
                <w:color w:val="000000"/>
                <w:sz w:val="20"/>
              </w:rPr>
              <w:t xml:space="preserve">through the Territory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62" w:id="55"/>
    <w:p>
      <w:pPr>
        <w:spacing w:after="0"/>
        <w:ind w:left="0"/>
        <w:jc w:val="left"/>
      </w:pPr>
      <w:r>
        <w:rPr>
          <w:rFonts w:ascii="Times New Roman"/>
          <w:b/>
          <w:i w:val="false"/>
          <w:color w:val="000000"/>
        </w:rPr>
        <w:t xml:space="preserve"> OPINION</w:t>
      </w:r>
      <w:r>
        <w:br/>
      </w:r>
      <w:r>
        <w:rPr>
          <w:rFonts w:ascii="Times New Roman"/>
          <w:b/>
          <w:i w:val="false"/>
          <w:color w:val="000000"/>
        </w:rPr>
        <w:t>(permit document) No. _________ /20 /_____</w:t>
      </w:r>
    </w:p>
    <w:bookmarkEnd w:id="55"/>
    <w:bookmarkStart w:name="z63" w:id="56"/>
    <w:p>
      <w:pPr>
        <w:spacing w:after="0"/>
        <w:ind w:left="0"/>
        <w:jc w:val="both"/>
      </w:pPr>
      <w:r>
        <w:rPr>
          <w:rFonts w:ascii="Times New Roman"/>
          <w:b w:val="false"/>
          <w:i w:val="false"/>
          <w:color w:val="000000"/>
          <w:sz w:val="28"/>
        </w:rPr>
        <w:t>
      _____________________________________________________________________</w:t>
      </w:r>
    </w:p>
    <w:bookmarkEnd w:id="56"/>
    <w:bookmarkStart w:name="z64" w:id="57"/>
    <w:p>
      <w:pPr>
        <w:spacing w:after="0"/>
        <w:ind w:left="0"/>
        <w:jc w:val="both"/>
      </w:pPr>
      <w:r>
        <w:rPr>
          <w:rFonts w:ascii="Times New Roman"/>
          <w:b w:val="false"/>
          <w:i w:val="false"/>
          <w:color w:val="000000"/>
          <w:sz w:val="28"/>
        </w:rPr>
        <w:t>
      (the name of the public authority of the Eurasian Economic Union member state that issued the opinion)</w:t>
      </w:r>
    </w:p>
    <w:bookmarkEnd w:id="57"/>
    <w:bookmarkStart w:name="z65" w:id="58"/>
    <w:p>
      <w:pPr>
        <w:spacing w:after="0"/>
        <w:ind w:left="0"/>
        <w:jc w:val="both"/>
      </w:pPr>
      <w:r>
        <w:rPr>
          <w:rFonts w:ascii="Times New Roman"/>
          <w:b w:val="false"/>
          <w:i w:val="false"/>
          <w:color w:val="000000"/>
          <w:sz w:val="28"/>
        </w:rPr>
        <w:t>
      Issued to _________________________________________________________________</w:t>
      </w:r>
    </w:p>
    <w:bookmarkEnd w:id="58"/>
    <w:bookmarkStart w:name="z66" w:id="59"/>
    <w:p>
      <w:pPr>
        <w:spacing w:after="0"/>
        <w:ind w:left="0"/>
        <w:jc w:val="both"/>
      </w:pPr>
      <w:r>
        <w:rPr>
          <w:rFonts w:ascii="Times New Roman"/>
          <w:b w:val="false"/>
          <w:i w:val="false"/>
          <w:color w:val="000000"/>
          <w:sz w:val="28"/>
        </w:rPr>
        <w:t>
      (name of the organisation, legal address, country / for natural persons surname, first name, patronymic (if any)</w:t>
      </w:r>
    </w:p>
    <w:bookmarkEnd w:id="59"/>
    <w:bookmarkStart w:name="z67" w:id="60"/>
    <w:p>
      <w:pPr>
        <w:spacing w:after="0"/>
        <w:ind w:left="0"/>
        <w:jc w:val="both"/>
      </w:pPr>
      <w:r>
        <w:rPr>
          <w:rFonts w:ascii="Times New Roman"/>
          <w:b w:val="false"/>
          <w:i w:val="false"/>
          <w:color w:val="000000"/>
          <w:sz w:val="28"/>
        </w:rPr>
        <w:t>
      Type of movement _____________________________________________________</w:t>
      </w:r>
    </w:p>
    <w:bookmarkEnd w:id="60"/>
    <w:bookmarkStart w:name="z68" w:id="61"/>
    <w:p>
      <w:pPr>
        <w:spacing w:after="0"/>
        <w:ind w:left="0"/>
        <w:jc w:val="both"/>
      </w:pPr>
      <w:r>
        <w:rPr>
          <w:rFonts w:ascii="Times New Roman"/>
          <w:b w:val="false"/>
          <w:i w:val="false"/>
          <w:color w:val="000000"/>
          <w:sz w:val="28"/>
        </w:rPr>
        <w:t>
      (Type of movement)</w:t>
      </w:r>
    </w:p>
    <w:bookmarkEnd w:id="61"/>
    <w:bookmarkStart w:name="z69" w:id="62"/>
    <w:p>
      <w:pPr>
        <w:spacing w:after="0"/>
        <w:ind w:left="0"/>
        <w:jc w:val="both"/>
      </w:pPr>
      <w:r>
        <w:rPr>
          <w:rFonts w:ascii="Times New Roman"/>
          <w:b w:val="false"/>
          <w:i w:val="false"/>
          <w:color w:val="000000"/>
          <w:sz w:val="28"/>
        </w:rPr>
        <w:t>
      _________________| |___________________________________________________</w:t>
      </w:r>
    </w:p>
    <w:bookmarkEnd w:id="62"/>
    <w:bookmarkStart w:name="z70" w:id="63"/>
    <w:p>
      <w:pPr>
        <w:spacing w:after="0"/>
        <w:ind w:left="0"/>
        <w:jc w:val="both"/>
      </w:pPr>
      <w:r>
        <w:rPr>
          <w:rFonts w:ascii="Times New Roman"/>
          <w:b w:val="false"/>
          <w:i w:val="false"/>
          <w:color w:val="000000"/>
          <w:sz w:val="28"/>
        </w:rPr>
        <w:t>
      (section of the Unified List of Goods)</w:t>
      </w:r>
    </w:p>
    <w:bookmarkEnd w:id="63"/>
    <w:bookmarkStart w:name="z71" w:id="64"/>
    <w:p>
      <w:pPr>
        <w:spacing w:after="0"/>
        <w:ind w:left="0"/>
        <w:jc w:val="both"/>
      </w:pPr>
      <w:r>
        <w:rPr>
          <w:rFonts w:ascii="Times New Roman"/>
          <w:b w:val="false"/>
          <w:i w:val="false"/>
          <w:color w:val="000000"/>
          <w:sz w:val="28"/>
        </w:rPr>
        <w:t>
      (Code of the Commodity Nomenclature of Foreign Economic Activities of the Eurasian Economic Union)</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5"/>
    <w:p>
      <w:pPr>
        <w:spacing w:after="0"/>
        <w:ind w:left="0"/>
        <w:jc w:val="both"/>
      </w:pPr>
      <w:r>
        <w:rPr>
          <w:rFonts w:ascii="Times New Roman"/>
          <w:b w:val="false"/>
          <w:i w:val="false"/>
          <w:color w:val="000000"/>
          <w:sz w:val="28"/>
        </w:rPr>
        <w:t>
      Recipient/sender __________________________________________________________</w:t>
      </w:r>
    </w:p>
    <w:bookmarkEnd w:id="65"/>
    <w:bookmarkStart w:name="z73" w:id="66"/>
    <w:p>
      <w:pPr>
        <w:spacing w:after="0"/>
        <w:ind w:left="0"/>
        <w:jc w:val="both"/>
      </w:pPr>
      <w:r>
        <w:rPr>
          <w:rFonts w:ascii="Times New Roman"/>
          <w:b w:val="false"/>
          <w:i w:val="false"/>
          <w:color w:val="000000"/>
          <w:sz w:val="28"/>
        </w:rPr>
        <w:t>
      (name, registered office, country)</w:t>
      </w:r>
    </w:p>
    <w:bookmarkEnd w:id="66"/>
    <w:bookmarkStart w:name="z74" w:id="67"/>
    <w:p>
      <w:pPr>
        <w:spacing w:after="0"/>
        <w:ind w:left="0"/>
        <w:jc w:val="both"/>
      </w:pPr>
      <w:r>
        <w:rPr>
          <w:rFonts w:ascii="Times New Roman"/>
          <w:b w:val="false"/>
          <w:i w:val="false"/>
          <w:color w:val="000000"/>
          <w:sz w:val="28"/>
        </w:rPr>
        <w:t>
      Destination/sending country ____________________________________________________</w:t>
      </w:r>
    </w:p>
    <w:bookmarkEnd w:id="67"/>
    <w:bookmarkStart w:name="z75" w:id="68"/>
    <w:p>
      <w:pPr>
        <w:spacing w:after="0"/>
        <w:ind w:left="0"/>
        <w:jc w:val="both"/>
      </w:pPr>
      <w:r>
        <w:rPr>
          <w:rFonts w:ascii="Times New Roman"/>
          <w:b w:val="false"/>
          <w:i w:val="false"/>
          <w:color w:val="000000"/>
          <w:sz w:val="28"/>
        </w:rPr>
        <w:t>
      Purpose of importation (exportation) ______________________________________________________________</w:t>
      </w:r>
    </w:p>
    <w:bookmarkEnd w:id="68"/>
    <w:bookmarkStart w:name="z76" w:id="69"/>
    <w:p>
      <w:pPr>
        <w:spacing w:after="0"/>
        <w:ind w:left="0"/>
        <w:jc w:val="both"/>
      </w:pPr>
      <w:r>
        <w:rPr>
          <w:rFonts w:ascii="Times New Roman"/>
          <w:b w:val="false"/>
          <w:i w:val="false"/>
          <w:color w:val="000000"/>
          <w:sz w:val="28"/>
        </w:rPr>
        <w:t>
      Time limit for temporary importation (exportation) ___________________________________________________</w:t>
      </w:r>
    </w:p>
    <w:bookmarkEnd w:id="69"/>
    <w:bookmarkStart w:name="z77" w:id="70"/>
    <w:p>
      <w:pPr>
        <w:spacing w:after="0"/>
        <w:ind w:left="0"/>
        <w:jc w:val="both"/>
      </w:pPr>
      <w:r>
        <w:rPr>
          <w:rFonts w:ascii="Times New Roman"/>
          <w:b w:val="false"/>
          <w:i w:val="false"/>
          <w:color w:val="000000"/>
          <w:sz w:val="28"/>
        </w:rPr>
        <w:t>
      Ground: _____________________________________________________________________</w:t>
      </w:r>
    </w:p>
    <w:bookmarkEnd w:id="70"/>
    <w:bookmarkStart w:name="z78" w:id="71"/>
    <w:p>
      <w:pPr>
        <w:spacing w:after="0"/>
        <w:ind w:left="0"/>
        <w:jc w:val="both"/>
      </w:pPr>
      <w:r>
        <w:rPr>
          <w:rFonts w:ascii="Times New Roman"/>
          <w:b w:val="false"/>
          <w:i w:val="false"/>
          <w:color w:val="000000"/>
          <w:sz w:val="28"/>
        </w:rPr>
        <w:t>
      _______________________________________________________________________________</w:t>
      </w:r>
    </w:p>
    <w:bookmarkEnd w:id="71"/>
    <w:bookmarkStart w:name="z79" w:id="72"/>
    <w:p>
      <w:pPr>
        <w:spacing w:after="0"/>
        <w:ind w:left="0"/>
        <w:jc w:val="both"/>
      </w:pPr>
      <w:r>
        <w:rPr>
          <w:rFonts w:ascii="Times New Roman"/>
          <w:b w:val="false"/>
          <w:i w:val="false"/>
          <w:color w:val="000000"/>
          <w:sz w:val="28"/>
        </w:rPr>
        <w:t>
      Further information _____________________________________________________</w:t>
      </w:r>
    </w:p>
    <w:bookmarkEnd w:id="72"/>
    <w:bookmarkStart w:name="z80" w:id="73"/>
    <w:p>
      <w:pPr>
        <w:spacing w:after="0"/>
        <w:ind w:left="0"/>
        <w:jc w:val="both"/>
      </w:pPr>
      <w:r>
        <w:rPr>
          <w:rFonts w:ascii="Times New Roman"/>
          <w:b w:val="false"/>
          <w:i w:val="false"/>
          <w:color w:val="000000"/>
          <w:sz w:val="28"/>
        </w:rPr>
        <w:t>
      _______________________________________________________________________________</w:t>
      </w:r>
    </w:p>
    <w:bookmarkEnd w:id="73"/>
    <w:bookmarkStart w:name="z81" w:id="74"/>
    <w:p>
      <w:pPr>
        <w:spacing w:after="0"/>
        <w:ind w:left="0"/>
        <w:jc w:val="both"/>
      </w:pPr>
      <w:r>
        <w:rPr>
          <w:rFonts w:ascii="Times New Roman"/>
          <w:b w:val="false"/>
          <w:i w:val="false"/>
          <w:color w:val="000000"/>
          <w:sz w:val="28"/>
        </w:rPr>
        <w:t>
      Transit country ________________________________________________________________</w:t>
      </w:r>
    </w:p>
    <w:bookmarkEnd w:id="74"/>
    <w:bookmarkStart w:name="z82" w:id="75"/>
    <w:p>
      <w:pPr>
        <w:spacing w:after="0"/>
        <w:ind w:left="0"/>
        <w:jc w:val="both"/>
      </w:pPr>
      <w:r>
        <w:rPr>
          <w:rFonts w:ascii="Times New Roman"/>
          <w:b w:val="false"/>
          <w:i w:val="false"/>
          <w:color w:val="000000"/>
          <w:sz w:val="28"/>
        </w:rPr>
        <w:t>
      (cross-border transit)</w:t>
      </w:r>
    </w:p>
    <w:bookmarkEnd w:id="75"/>
    <w:bookmarkStart w:name="z83" w:id="76"/>
    <w:p>
      <w:pPr>
        <w:spacing w:after="0"/>
        <w:ind w:left="0"/>
        <w:jc w:val="both"/>
      </w:pPr>
      <w:r>
        <w:rPr>
          <w:rFonts w:ascii="Times New Roman"/>
          <w:b w:val="false"/>
          <w:i w:val="false"/>
          <w:color w:val="000000"/>
          <w:sz w:val="28"/>
        </w:rPr>
        <w:t>
      ________________________________________________________________________________</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 date 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is valid by:</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stamp here (if available)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________________________________________ (position)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Issuing an </w:t>
            </w:r>
            <w:r>
              <w:br/>
            </w:r>
            <w:r>
              <w:rPr>
                <w:rFonts w:ascii="Times New Roman"/>
                <w:b w:val="false"/>
                <w:i w:val="false"/>
                <w:color w:val="000000"/>
                <w:sz w:val="20"/>
              </w:rPr>
              <w:t xml:space="preserve">Opinion on the Transboundary </w:t>
            </w:r>
            <w:r>
              <w:br/>
            </w:r>
            <w:r>
              <w:rPr>
                <w:rFonts w:ascii="Times New Roman"/>
                <w:b w:val="false"/>
                <w:i w:val="false"/>
                <w:color w:val="000000"/>
                <w:sz w:val="20"/>
              </w:rPr>
              <w:t xml:space="preserve">Movement of Hazardous Waste </w:t>
            </w:r>
            <w:r>
              <w:br/>
            </w:r>
            <w:r>
              <w:rPr>
                <w:rFonts w:ascii="Times New Roman"/>
                <w:b w:val="false"/>
                <w:i w:val="false"/>
                <w:color w:val="000000"/>
                <w:sz w:val="20"/>
              </w:rPr>
              <w:t xml:space="preserve">through the Territory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86" w:id="77"/>
    <w:p>
      <w:pPr>
        <w:spacing w:after="0"/>
        <w:ind w:left="0"/>
        <w:jc w:val="left"/>
      </w:pPr>
      <w:r>
        <w:rPr>
          <w:rFonts w:ascii="Times New Roman"/>
          <w:b/>
          <w:i w:val="false"/>
          <w:color w:val="000000"/>
        </w:rPr>
        <w:t xml:space="preserve"> Waste transportaion document</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the exporter (name,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 accordingly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Serial No. of delivery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notification No.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 transportation by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One-off notification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notification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Location/use facility (name, address)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Waste generator (name, address)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Generation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Ways of placement/use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facility where the waste was generated: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code: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code: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 (Name,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technology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should contact: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 responsible for waste disposal (Name,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details if necessary)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Details concerning insurance: (on the relevant insurance requirements and how they are met by the exporter, transporter and person responsible for disposal)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insurance contract and policy: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1st transporter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2nd transporter (Name, address)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The last transporter (Name, address)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Type of transportation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Type of transportation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Type of transportation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Date/place of transhipment: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Date/place of transhipment: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Date/place of transhipment: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of the transporter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representative of the transporter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of the transporter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Name and the chemical composition of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Physical characteristics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Actual quantity,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Type(s) of packaging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Waste identification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export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Waste Identification Code / European Waste Catalogue: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import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Waste Identification Code / European Waste Catalogue: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UN classification: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shipping name: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OECD classification (2) red |_|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Class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 |_|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Н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green |_|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details)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Special handling requirements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Waste exporter (generator) declaration: I hereby confirm that the information in boxes 1 to 9 and 13 to 21 above is complete and correct to the best of my knowledge. I also confirm that legally binding contractual obligations have been established in writing, that appropriate guarantees covering transboundary movements of wastes are in place and that no objections have been received from the competent authorities of all States Parties to the Basel Convention concerned.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Actual date of shipment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completed by the recipient/placement/use facility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Delivery received by the recipient (if it is not a placement/use facility: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I confirm that the disposal/use of the waste described above has been undertaken.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refusal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Delivery received at the placement/use facility: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the seal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refusal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date of placement/use: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placement/use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completed by the person responsible for waste disposal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Delivery received by the person responsible for waste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I confirm that the disposal of the waste described above will be carried out: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refusal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Delivery received at the waste disposal facility: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the seal (if any):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refusal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date of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location of the disposal facility: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8"/>
    <w:p>
      <w:pPr>
        <w:spacing w:after="0"/>
        <w:ind w:left="0"/>
        <w:jc w:val="both"/>
      </w:pPr>
      <w:r>
        <w:rPr>
          <w:rFonts w:ascii="Times New Roman"/>
          <w:b w:val="false"/>
          <w:i w:val="false"/>
          <w:color w:val="000000"/>
          <w:sz w:val="28"/>
        </w:rPr>
        <w:t>
      Note:</w:t>
      </w:r>
    </w:p>
    <w:bookmarkEnd w:id="78"/>
    <w:bookmarkStart w:name="z88" w:id="79"/>
    <w:p>
      <w:pPr>
        <w:spacing w:after="0"/>
        <w:ind w:left="0"/>
        <w:jc w:val="both"/>
      </w:pPr>
      <w:r>
        <w:rPr>
          <w:rFonts w:ascii="Times New Roman"/>
          <w:b w:val="false"/>
          <w:i w:val="false"/>
          <w:color w:val="000000"/>
          <w:sz w:val="28"/>
        </w:rPr>
        <w:t>
      OECD - Organisation for Economic Co-operation and Development</w:t>
      </w:r>
    </w:p>
    <w:bookmarkEnd w:id="79"/>
    <w:bookmarkStart w:name="z89" w:id="80"/>
    <w:p>
      <w:pPr>
        <w:spacing w:after="0"/>
        <w:ind w:left="0"/>
        <w:jc w:val="both"/>
      </w:pPr>
      <w:r>
        <w:rPr>
          <w:rFonts w:ascii="Times New Roman"/>
          <w:b w:val="false"/>
          <w:i w:val="false"/>
          <w:color w:val="000000"/>
          <w:sz w:val="28"/>
        </w:rPr>
        <w:t>
      IWIC code - International Waste Identification Code</w:t>
      </w:r>
    </w:p>
    <w:bookmarkEnd w:id="80"/>
    <w:bookmarkStart w:name="z90" w:id="81"/>
    <w:p>
      <w:pPr>
        <w:spacing w:after="0"/>
        <w:ind w:left="0"/>
        <w:jc w:val="both"/>
      </w:pPr>
      <w:r>
        <w:rPr>
          <w:rFonts w:ascii="Times New Roman"/>
          <w:b w:val="false"/>
          <w:i w:val="false"/>
          <w:color w:val="000000"/>
          <w:sz w:val="28"/>
        </w:rPr>
        <w:t>
      EWC - European Waste Catalogue</w:t>
      </w:r>
    </w:p>
    <w:bookmarkEnd w:id="81"/>
    <w:bookmarkStart w:name="z91" w:id="82"/>
    <w:p>
      <w:pPr>
        <w:spacing w:after="0"/>
        <w:ind w:left="0"/>
        <w:jc w:val="both"/>
      </w:pPr>
      <w:r>
        <w:rPr>
          <w:rFonts w:ascii="Times New Roman"/>
          <w:b w:val="false"/>
          <w:i w:val="false"/>
          <w:color w:val="000000"/>
          <w:sz w:val="28"/>
        </w:rPr>
        <w:t>
      OECD Classification - Classifications of Economic Cooperation and Development</w:t>
      </w:r>
    </w:p>
    <w:bookmarkEnd w:id="82"/>
    <w:bookmarkStart w:name="z92" w:id="83"/>
    <w:p>
      <w:pPr>
        <w:spacing w:after="0"/>
        <w:ind w:left="0"/>
        <w:jc w:val="both"/>
      </w:pPr>
      <w:r>
        <w:rPr>
          <w:rFonts w:ascii="Times New Roman"/>
          <w:b w:val="false"/>
          <w:i w:val="false"/>
          <w:color w:val="000000"/>
          <w:sz w:val="28"/>
        </w:rPr>
        <w:t>
      UN number -United Nations number</w:t>
      </w:r>
    </w:p>
    <w:bookmarkEnd w:id="83"/>
    <w:bookmarkStart w:name="z93" w:id="84"/>
    <w:p>
      <w:pPr>
        <w:spacing w:after="0"/>
        <w:ind w:left="0"/>
        <w:jc w:val="both"/>
      </w:pPr>
      <w:r>
        <w:rPr>
          <w:rFonts w:ascii="Times New Roman"/>
          <w:b w:val="false"/>
          <w:i w:val="false"/>
          <w:color w:val="000000"/>
          <w:sz w:val="28"/>
        </w:rPr>
        <w:t>
      Number Ү, number H - waste type code according to classification</w:t>
      </w:r>
    </w:p>
    <w:bookmarkEnd w:id="84"/>
    <w:bookmarkStart w:name="z94" w:id="85"/>
    <w:p>
      <w:pPr>
        <w:spacing w:after="0"/>
        <w:ind w:left="0"/>
        <w:jc w:val="both"/>
      </w:pPr>
      <w:r>
        <w:rPr>
          <w:rFonts w:ascii="Times New Roman"/>
          <w:b w:val="false"/>
          <w:i w:val="false"/>
          <w:color w:val="000000"/>
          <w:sz w:val="28"/>
        </w:rPr>
        <w:t>
      D code - disposal operations</w:t>
      </w:r>
    </w:p>
    <w:bookmarkEnd w:id="85"/>
    <w:bookmarkStart w:name="z95" w:id="86"/>
    <w:p>
      <w:pPr>
        <w:spacing w:after="0"/>
        <w:ind w:left="0"/>
        <w:jc w:val="both"/>
      </w:pPr>
      <w:r>
        <w:rPr>
          <w:rFonts w:ascii="Times New Roman"/>
          <w:b w:val="false"/>
          <w:i w:val="false"/>
          <w:color w:val="000000"/>
          <w:sz w:val="28"/>
        </w:rPr>
        <w:t xml:space="preserve">
      R code - operations which may lead to recovery, recycling, disposal, direct reuse or alternative uses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