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c77b" w14:textId="b44c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a Special Mobile Application for the Purpose of Fulfilling Tax and Social Payment Obligations under Special Tax Regimes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1109 of the Minister of Finance of the Republic of Kazakhstan dated October 27, 2021. Registered with the Ministry of Justice of the Republic of Kazakhstan on October 28, 2021 under No. 24949</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 by the ILLI!</w:t>
      </w:r>
      <w:r>
        <w:br/>
      </w:r>
      <w:r>
        <w:rPr>
          <w:rFonts w:ascii="Times New Roman"/>
          <w:b w:val="false"/>
          <w:i w:val="false"/>
          <w:color w:val="000000"/>
          <w:sz w:val="28"/>
        </w:rPr>
        <w:t>
</w:t>
      </w:r>
      <w:r>
        <w:rPr>
          <w:rFonts w:ascii="Times New Roman"/>
          <w:b w:val="false"/>
          <w:i w:val="false"/>
          <w:color w:val="ff0000"/>
          <w:sz w:val="28"/>
        </w:rPr>
        <w:t>      See paragraph 3 for the enactment procedure.</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Under paragraph 1 of Article 686-1 of the Code of the Republic of Kazakhstan “On Taxes and Other Obligatory Payments to the Budget” (Tax Code)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That the attached Rules for the Use of a Special Mobile Application for the Purpose of Fulfilling Tax and Social Payment Obligations under Special Tax Regimes shall be approved.</w:t>
      </w:r>
    </w:p>
    <w:bookmarkEnd w:id="1"/>
    <w:bookmarkStart w:name="z3" w:id="2"/>
    <w:p>
      <w:pPr>
        <w:spacing w:after="0"/>
        <w:ind w:left="0"/>
        <w:jc w:val="both"/>
      </w:pPr>
      <w:r>
        <w:rPr>
          <w:rFonts w:ascii="Times New Roman"/>
          <w:b w:val="false"/>
          <w:i w:val="false"/>
          <w:color w:val="000000"/>
          <w:sz w:val="28"/>
        </w:rPr>
        <w:t>
      2. That, in compliance with the legislation of the Republic of Kazakhstan, the State Revenue Committee of the Ministry of Finance of the Republic of Kazakhstan shall:</w:t>
      </w:r>
    </w:p>
    <w:bookmarkEnd w:id="2"/>
    <w:bookmarkStart w:name="z4" w:id="3"/>
    <w:p>
      <w:pPr>
        <w:spacing w:after="0"/>
        <w:ind w:left="0"/>
        <w:jc w:val="both"/>
      </w:pPr>
      <w:r>
        <w:rPr>
          <w:rFonts w:ascii="Times New Roman"/>
          <w:b w:val="false"/>
          <w:i w:val="false"/>
          <w:color w:val="000000"/>
          <w:sz w:val="28"/>
        </w:rPr>
        <w:t>
      1) provide the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place this order on the website of the Ministry of Finance of the Republic of Kazakhstan;</w:t>
      </w:r>
    </w:p>
    <w:bookmarkEnd w:id="4"/>
    <w:bookmarkStart w:name="z6" w:id="5"/>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submit to the Legal Service Department of the Ministry of Finance of the Republic of Kazakhstan information on the performance of the measures stipulated in sub-paragraphs 1) and 2) of this paragraph.</w:t>
      </w:r>
    </w:p>
    <w:bookmarkEnd w:id="5"/>
    <w:bookmarkStart w:name="z7" w:id="6"/>
    <w:p>
      <w:pPr>
        <w:spacing w:after="0"/>
        <w:ind w:left="0"/>
        <w:jc w:val="both"/>
      </w:pPr>
      <w:r>
        <w:rPr>
          <w:rFonts w:ascii="Times New Roman"/>
          <w:b w:val="false"/>
          <w:i w:val="false"/>
          <w:color w:val="000000"/>
          <w:sz w:val="28"/>
        </w:rPr>
        <w:t>
      3. That this order shall be effective since January 1, 2022 and shall be subject to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Finance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Zhamaubayev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of </w:t>
            </w:r>
            <w:r>
              <w:br/>
            </w:r>
            <w:r>
              <w:rPr>
                <w:rFonts w:ascii="Times New Roman"/>
                <w:b w:val="false"/>
                <w:i w:val="false"/>
                <w:color w:val="000000"/>
                <w:sz w:val="20"/>
              </w:rPr>
              <w:t xml:space="preserve">Finance of the Republic of </w:t>
            </w:r>
            <w:r>
              <w:br/>
            </w:r>
            <w:r>
              <w:rPr>
                <w:rFonts w:ascii="Times New Roman"/>
                <w:b w:val="false"/>
                <w:i w:val="false"/>
                <w:color w:val="000000"/>
                <w:sz w:val="20"/>
              </w:rPr>
              <w:t xml:space="preserve">Kazakhstan No. 1109 of </w:t>
            </w:r>
            <w:r>
              <w:br/>
            </w:r>
            <w:r>
              <w:rPr>
                <w:rFonts w:ascii="Times New Roman"/>
                <w:b w:val="false"/>
                <w:i w:val="false"/>
                <w:color w:val="000000"/>
                <w:sz w:val="20"/>
              </w:rPr>
              <w:t>October 27, 2021</w:t>
            </w:r>
          </w:p>
        </w:tc>
      </w:tr>
    </w:tbl>
    <w:bookmarkStart w:name="z10" w:id="7"/>
    <w:p>
      <w:pPr>
        <w:spacing w:after="0"/>
        <w:ind w:left="0"/>
        <w:jc w:val="left"/>
      </w:pPr>
      <w:r>
        <w:rPr>
          <w:rFonts w:ascii="Times New Roman"/>
          <w:b/>
          <w:i w:val="false"/>
          <w:color w:val="000000"/>
        </w:rPr>
        <w:t xml:space="preserve"> Rules for the Use of a Special Mobile Application for the Purpose of Fulfilling Tax and Social Payment Obligations under Special Tax Regimes</w:t>
      </w:r>
    </w:p>
    <w:bookmarkEnd w:id="7"/>
    <w:bookmarkStart w:name="z11" w:id="8"/>
    <w:p>
      <w:pPr>
        <w:spacing w:after="0"/>
        <w:ind w:left="0"/>
        <w:jc w:val="left"/>
      </w:pPr>
      <w:r>
        <w:rPr>
          <w:rFonts w:ascii="Times New Roman"/>
          <w:b/>
          <w:i w:val="false"/>
          <w:color w:val="000000"/>
        </w:rPr>
        <w:t xml:space="preserve"> Chapter 1. General provisions</w:t>
      </w:r>
    </w:p>
    <w:bookmarkEnd w:id="8"/>
    <w:bookmarkStart w:name="z12" w:id="9"/>
    <w:p>
      <w:pPr>
        <w:spacing w:after="0"/>
        <w:ind w:left="0"/>
        <w:jc w:val="both"/>
      </w:pPr>
      <w:r>
        <w:rPr>
          <w:rFonts w:ascii="Times New Roman"/>
          <w:b w:val="false"/>
          <w:i w:val="false"/>
          <w:color w:val="000000"/>
          <w:sz w:val="28"/>
        </w:rPr>
        <w:t>
      1. These Rules for the Use of a Special Mobile Application for the Purpose of Fulfilling Tax and Social Payment Obligations under Special Tax Regimes (hereinafter, the Rules) have been developed under paragraph 1 of Article 686-1 of the Code of the Republic of Kazakhstan “On Taxes and Other Obligatory Payments to the Budget” (hereinafter, the Tax Code) and specify the procedure for using a special mobile application to meet tax obligations and social payment obligations when applying certain special tax regimes.</w:t>
      </w:r>
    </w:p>
    <w:bookmarkEnd w:id="9"/>
    <w:bookmarkStart w:name="z13" w:id="10"/>
    <w:p>
      <w:pPr>
        <w:spacing w:after="0"/>
        <w:ind w:left="0"/>
        <w:jc w:val="both"/>
      </w:pPr>
      <w:r>
        <w:rPr>
          <w:rFonts w:ascii="Times New Roman"/>
          <w:b w:val="false"/>
          <w:i w:val="false"/>
          <w:color w:val="000000"/>
          <w:sz w:val="28"/>
        </w:rPr>
        <w:t>
      2. The special mobile application "E-Salyq Business" (hereinafter the mobile application) has been designed by the state revenue authority for the purposes of applying the simplified procedure for the fulfilment of tax and social payment obligations when applying the special tax regime, registration as an individual entrepreneur (deregistration from such registration) based on an electronic document certified with a taxpayer's electronic digital signature.</w:t>
      </w:r>
    </w:p>
    <w:bookmarkEnd w:id="10"/>
    <w:bookmarkStart w:name="z14" w:id="11"/>
    <w:p>
      <w:pPr>
        <w:spacing w:after="0"/>
        <w:ind w:left="0"/>
        <w:jc w:val="both"/>
      </w:pPr>
      <w:r>
        <w:rPr>
          <w:rFonts w:ascii="Times New Roman"/>
          <w:b w:val="false"/>
          <w:i w:val="false"/>
          <w:color w:val="000000"/>
          <w:sz w:val="28"/>
        </w:rPr>
        <w:t>
      3. The users of the mobile application shall be:</w:t>
      </w:r>
    </w:p>
    <w:bookmarkEnd w:id="11"/>
    <w:bookmarkStart w:name="z15" w:id="12"/>
    <w:p>
      <w:pPr>
        <w:spacing w:after="0"/>
        <w:ind w:left="0"/>
        <w:jc w:val="both"/>
      </w:pPr>
      <w:r>
        <w:rPr>
          <w:rFonts w:ascii="Times New Roman"/>
          <w:b w:val="false"/>
          <w:i w:val="false"/>
          <w:color w:val="000000"/>
          <w:sz w:val="28"/>
        </w:rPr>
        <w:t>
      1) natural persons who wish to conduct entrepreneurial activities under a special tax regime, as well as individual entrepreneurs applying a special tax regime;</w:t>
      </w:r>
    </w:p>
    <w:bookmarkEnd w:id="12"/>
    <w:bookmarkStart w:name="z16" w:id="13"/>
    <w:p>
      <w:pPr>
        <w:spacing w:after="0"/>
        <w:ind w:left="0"/>
        <w:jc w:val="both"/>
      </w:pPr>
      <w:r>
        <w:rPr>
          <w:rFonts w:ascii="Times New Roman"/>
          <w:b w:val="false"/>
          <w:i w:val="false"/>
          <w:color w:val="000000"/>
          <w:sz w:val="28"/>
        </w:rPr>
        <w:t>
      2) employees of public revenue authorities who administer and monitor the work of the mobile application.</w:t>
      </w:r>
    </w:p>
    <w:bookmarkEnd w:id="13"/>
    <w:bookmarkStart w:name="z17" w:id="14"/>
    <w:p>
      <w:pPr>
        <w:spacing w:after="0"/>
        <w:ind w:left="0"/>
        <w:jc w:val="left"/>
      </w:pPr>
      <w:r>
        <w:rPr>
          <w:rFonts w:ascii="Times New Roman"/>
          <w:b/>
          <w:i w:val="false"/>
          <w:color w:val="000000"/>
        </w:rPr>
        <w:t xml:space="preserve"> Chapter 2. Procedures for the use of a special mobile application for the purpose of fulfilling tax and social payment obligations when applying special tax regimes</w:t>
      </w:r>
    </w:p>
    <w:bookmarkEnd w:id="14"/>
    <w:bookmarkStart w:name="z18" w:id="15"/>
    <w:p>
      <w:pPr>
        <w:spacing w:after="0"/>
        <w:ind w:left="0"/>
        <w:jc w:val="both"/>
      </w:pPr>
      <w:r>
        <w:rPr>
          <w:rFonts w:ascii="Times New Roman"/>
          <w:b w:val="false"/>
          <w:i w:val="false"/>
          <w:color w:val="000000"/>
          <w:sz w:val="28"/>
        </w:rPr>
        <w:t>
      4. Natural persons wishing to engage in entrepreneurial activities under a special tax regime, as well as individual entrepreneurs applying a special tax regime, for registration as users of the mobile application:</w:t>
      </w:r>
    </w:p>
    <w:bookmarkEnd w:id="15"/>
    <w:bookmarkStart w:name="z19" w:id="16"/>
    <w:p>
      <w:pPr>
        <w:spacing w:after="0"/>
        <w:ind w:left="0"/>
        <w:jc w:val="both"/>
      </w:pPr>
      <w:r>
        <w:rPr>
          <w:rFonts w:ascii="Times New Roman"/>
          <w:b w:val="false"/>
          <w:i w:val="false"/>
          <w:color w:val="000000"/>
          <w:sz w:val="28"/>
        </w:rPr>
        <w:t>
      1) shall download the mobile application;</w:t>
      </w:r>
    </w:p>
    <w:bookmarkEnd w:id="16"/>
    <w:bookmarkStart w:name="z20" w:id="17"/>
    <w:p>
      <w:pPr>
        <w:spacing w:after="0"/>
        <w:ind w:left="0"/>
        <w:jc w:val="both"/>
      </w:pPr>
      <w:r>
        <w:rPr>
          <w:rFonts w:ascii="Times New Roman"/>
          <w:b w:val="false"/>
          <w:i w:val="false"/>
          <w:color w:val="000000"/>
          <w:sz w:val="28"/>
        </w:rPr>
        <w:t>
      2) shall login as its users;</w:t>
      </w:r>
    </w:p>
    <w:bookmarkEnd w:id="17"/>
    <w:bookmarkStart w:name="z21" w:id="18"/>
    <w:p>
      <w:pPr>
        <w:spacing w:after="0"/>
        <w:ind w:left="0"/>
        <w:jc w:val="both"/>
      </w:pPr>
      <w:r>
        <w:rPr>
          <w:rFonts w:ascii="Times New Roman"/>
          <w:b w:val="false"/>
          <w:i w:val="false"/>
          <w:color w:val="000000"/>
          <w:sz w:val="28"/>
        </w:rPr>
        <w:t>
      3) natural persons shall register as an individual entrepreneur, choosing the tax regime, type of activity and the territorial state revenue authority at the location of the individual entrepreneur's activity;</w:t>
      </w:r>
    </w:p>
    <w:bookmarkEnd w:id="18"/>
    <w:bookmarkStart w:name="z22" w:id="19"/>
    <w:p>
      <w:pPr>
        <w:spacing w:after="0"/>
        <w:ind w:left="0"/>
        <w:jc w:val="both"/>
      </w:pPr>
      <w:r>
        <w:rPr>
          <w:rFonts w:ascii="Times New Roman"/>
          <w:b w:val="false"/>
          <w:i w:val="false"/>
          <w:color w:val="000000"/>
          <w:sz w:val="28"/>
        </w:rPr>
        <w:t>
      4) individual entrepreneurs shall use the main components of the mobile application while they are carrying out their business activities.</w:t>
      </w:r>
    </w:p>
    <w:bookmarkEnd w:id="19"/>
    <w:bookmarkStart w:name="z23" w:id="20"/>
    <w:p>
      <w:pPr>
        <w:spacing w:after="0"/>
        <w:ind w:left="0"/>
        <w:jc w:val="both"/>
      </w:pPr>
      <w:r>
        <w:rPr>
          <w:rFonts w:ascii="Times New Roman"/>
          <w:b w:val="false"/>
          <w:i w:val="false"/>
          <w:color w:val="000000"/>
          <w:sz w:val="28"/>
        </w:rPr>
        <w:t>
      5. To suspend (extend, renew) the submission of tax returns, including using a mobile application, under Articles 213 and 214 of the Tax Code, the taxpayer shall:</w:t>
      </w:r>
    </w:p>
    <w:bookmarkEnd w:id="20"/>
    <w:bookmarkStart w:name="z24" w:id="21"/>
    <w:p>
      <w:pPr>
        <w:spacing w:after="0"/>
        <w:ind w:left="0"/>
        <w:jc w:val="both"/>
      </w:pPr>
      <w:r>
        <w:rPr>
          <w:rFonts w:ascii="Times New Roman"/>
          <w:b w:val="false"/>
          <w:i w:val="false"/>
          <w:color w:val="000000"/>
          <w:sz w:val="28"/>
        </w:rPr>
        <w:t>
      1) forward a tax application;</w:t>
      </w:r>
    </w:p>
    <w:bookmarkEnd w:id="21"/>
    <w:bookmarkStart w:name="z25" w:id="22"/>
    <w:p>
      <w:pPr>
        <w:spacing w:after="0"/>
        <w:ind w:left="0"/>
        <w:jc w:val="both"/>
      </w:pPr>
      <w:r>
        <w:rPr>
          <w:rFonts w:ascii="Times New Roman"/>
          <w:b w:val="false"/>
          <w:i w:val="false"/>
          <w:color w:val="000000"/>
          <w:sz w:val="28"/>
        </w:rPr>
        <w:t>
      2) submit tax returns, except for individual entrepreneurs who apply a special tax regime using a special mobile application.</w:t>
      </w:r>
    </w:p>
    <w:bookmarkEnd w:id="22"/>
    <w:bookmarkStart w:name="z26" w:id="23"/>
    <w:p>
      <w:pPr>
        <w:spacing w:after="0"/>
        <w:ind w:left="0"/>
        <w:jc w:val="both"/>
      </w:pPr>
      <w:r>
        <w:rPr>
          <w:rFonts w:ascii="Times New Roman"/>
          <w:b w:val="false"/>
          <w:i w:val="false"/>
          <w:color w:val="000000"/>
          <w:sz w:val="28"/>
        </w:rPr>
        <w:t>
      6. To deregister as an individual entrepreneur under the procedure laid down in Articles 66 and 67 of the Tax Code, the taxpayer shall fill in the relevant data:</w:t>
      </w:r>
    </w:p>
    <w:bookmarkEnd w:id="23"/>
    <w:bookmarkStart w:name="z27" w:id="24"/>
    <w:p>
      <w:pPr>
        <w:spacing w:after="0"/>
        <w:ind w:left="0"/>
        <w:jc w:val="both"/>
      </w:pPr>
      <w:r>
        <w:rPr>
          <w:rFonts w:ascii="Times New Roman"/>
          <w:b w:val="false"/>
          <w:i w:val="false"/>
          <w:color w:val="000000"/>
          <w:sz w:val="28"/>
        </w:rPr>
        <w:t>
      1) a tax declaration on the termination of an activity;</w:t>
      </w:r>
    </w:p>
    <w:bookmarkEnd w:id="24"/>
    <w:bookmarkStart w:name="z28" w:id="25"/>
    <w:p>
      <w:pPr>
        <w:spacing w:after="0"/>
        <w:ind w:left="0"/>
        <w:jc w:val="both"/>
      </w:pPr>
      <w:r>
        <w:rPr>
          <w:rFonts w:ascii="Times New Roman"/>
          <w:b w:val="false"/>
          <w:i w:val="false"/>
          <w:color w:val="000000"/>
          <w:sz w:val="28"/>
        </w:rPr>
        <w:t>
      2) a tax application for deregistration of the cash register (if any);</w:t>
      </w:r>
    </w:p>
    <w:bookmarkEnd w:id="25"/>
    <w:bookmarkStart w:name="z29" w:id="26"/>
    <w:p>
      <w:pPr>
        <w:spacing w:after="0"/>
        <w:ind w:left="0"/>
        <w:jc w:val="both"/>
      </w:pPr>
      <w:r>
        <w:rPr>
          <w:rFonts w:ascii="Times New Roman"/>
          <w:b w:val="false"/>
          <w:i w:val="false"/>
          <w:color w:val="000000"/>
          <w:sz w:val="28"/>
        </w:rPr>
        <w:t>
      3) on the submission of liquidation tax returns.</w:t>
      </w:r>
    </w:p>
    <w:bookmarkEnd w:id="26"/>
    <w:bookmarkStart w:name="z30" w:id="27"/>
    <w:p>
      <w:pPr>
        <w:spacing w:after="0"/>
        <w:ind w:left="0"/>
        <w:jc w:val="both"/>
      </w:pPr>
      <w:r>
        <w:rPr>
          <w:rFonts w:ascii="Times New Roman"/>
          <w:b w:val="false"/>
          <w:i w:val="false"/>
          <w:color w:val="000000"/>
          <w:sz w:val="28"/>
        </w:rPr>
        <w:t>
      7. The mobile application shall be designed to:</w:t>
      </w:r>
    </w:p>
    <w:bookmarkEnd w:id="27"/>
    <w:bookmarkStart w:name="z31" w:id="28"/>
    <w:p>
      <w:pPr>
        <w:spacing w:after="0"/>
        <w:ind w:left="0"/>
        <w:jc w:val="both"/>
      </w:pPr>
      <w:r>
        <w:rPr>
          <w:rFonts w:ascii="Times New Roman"/>
          <w:b w:val="false"/>
          <w:i w:val="false"/>
          <w:color w:val="000000"/>
          <w:sz w:val="28"/>
        </w:rPr>
        <w:t>
      1) register as an individual entrepreneur and deregister from such registration;</w:t>
      </w:r>
    </w:p>
    <w:bookmarkEnd w:id="28"/>
    <w:bookmarkStart w:name="z32" w:id="29"/>
    <w:p>
      <w:pPr>
        <w:spacing w:after="0"/>
        <w:ind w:left="0"/>
        <w:jc w:val="both"/>
      </w:pPr>
      <w:r>
        <w:rPr>
          <w:rFonts w:ascii="Times New Roman"/>
          <w:b w:val="false"/>
          <w:i w:val="false"/>
          <w:color w:val="000000"/>
          <w:sz w:val="28"/>
        </w:rPr>
        <w:t>
      2) choose and change the tax regime;</w:t>
      </w:r>
    </w:p>
    <w:bookmarkEnd w:id="29"/>
    <w:bookmarkStart w:name="z33" w:id="30"/>
    <w:p>
      <w:pPr>
        <w:spacing w:after="0"/>
        <w:ind w:left="0"/>
        <w:jc w:val="both"/>
      </w:pPr>
      <w:r>
        <w:rPr>
          <w:rFonts w:ascii="Times New Roman"/>
          <w:b w:val="false"/>
          <w:i w:val="false"/>
          <w:color w:val="000000"/>
          <w:sz w:val="28"/>
        </w:rPr>
        <w:t>
      3) take into account the employees of the individual entrepreneur and natural persons to whom the individual entrepreneur pays income under civil law contracts, whose data are entered into the mobile application by the individual entrepreneur;</w:t>
      </w:r>
    </w:p>
    <w:bookmarkEnd w:id="30"/>
    <w:bookmarkStart w:name="z34" w:id="31"/>
    <w:p>
      <w:pPr>
        <w:spacing w:after="0"/>
        <w:ind w:left="0"/>
        <w:jc w:val="both"/>
      </w:pPr>
      <w:r>
        <w:rPr>
          <w:rFonts w:ascii="Times New Roman"/>
          <w:b w:val="false"/>
          <w:i w:val="false"/>
          <w:color w:val="000000"/>
          <w:sz w:val="28"/>
        </w:rPr>
        <w:t>
      4) generate, cancel, send application cheques, issue application cheques for advance payment (forthcoming income), issue cheques on receipt of cash for income recognised as such for previous periods.</w:t>
      </w:r>
    </w:p>
    <w:bookmarkEnd w:id="31"/>
    <w:bookmarkStart w:name="z35" w:id="32"/>
    <w:p>
      <w:pPr>
        <w:spacing w:after="0"/>
        <w:ind w:left="0"/>
        <w:jc w:val="both"/>
      </w:pPr>
      <w:r>
        <w:rPr>
          <w:rFonts w:ascii="Times New Roman"/>
          <w:b w:val="false"/>
          <w:i w:val="false"/>
          <w:color w:val="000000"/>
          <w:sz w:val="28"/>
        </w:rPr>
        <w:t>
      However, cheques shall be available to self-employed persons who are not value added tax payers;</w:t>
      </w:r>
    </w:p>
    <w:bookmarkEnd w:id="32"/>
    <w:bookmarkStart w:name="z36" w:id="33"/>
    <w:p>
      <w:pPr>
        <w:spacing w:after="0"/>
        <w:ind w:left="0"/>
        <w:jc w:val="both"/>
      </w:pPr>
      <w:r>
        <w:rPr>
          <w:rFonts w:ascii="Times New Roman"/>
          <w:b w:val="false"/>
          <w:i w:val="false"/>
          <w:color w:val="000000"/>
          <w:sz w:val="28"/>
        </w:rPr>
        <w:t>
      5) account for income by cheque application.</w:t>
      </w:r>
    </w:p>
    <w:bookmarkEnd w:id="33"/>
    <w:bookmarkStart w:name="z37" w:id="34"/>
    <w:p>
      <w:pPr>
        <w:spacing w:after="0"/>
        <w:ind w:left="0"/>
        <w:jc w:val="both"/>
      </w:pPr>
      <w:r>
        <w:rPr>
          <w:rFonts w:ascii="Times New Roman"/>
          <w:b w:val="false"/>
          <w:i w:val="false"/>
          <w:color w:val="000000"/>
          <w:sz w:val="28"/>
        </w:rPr>
        <w:t>
      The income of the individual entrepreneur in the mobile application shall be based on the data from the application's receipts, cash register receipts received from fiscal data operators, as well as data on transfers to bank accounts (if the individual entrepreneur consents to disclosure of bank secrecy and integration with second-tier bank information systems) or details entered by the entrepreneur by manual entry;</w:t>
      </w:r>
    </w:p>
    <w:bookmarkEnd w:id="34"/>
    <w:bookmarkStart w:name="z38" w:id="35"/>
    <w:p>
      <w:pPr>
        <w:spacing w:after="0"/>
        <w:ind w:left="0"/>
        <w:jc w:val="both"/>
      </w:pPr>
      <w:r>
        <w:rPr>
          <w:rFonts w:ascii="Times New Roman"/>
          <w:b w:val="false"/>
          <w:i w:val="false"/>
          <w:color w:val="000000"/>
          <w:sz w:val="28"/>
        </w:rPr>
        <w:t>
      6) make an automated calculation of taxes and social payments based on the mobile application receipts, income data, including data on income of employees and individuals under civil law contracts, information whereof has been entered into the mobile application by the individual entrepreneur himself/herself;</w:t>
      </w:r>
    </w:p>
    <w:bookmarkEnd w:id="35"/>
    <w:bookmarkStart w:name="z39" w:id="36"/>
    <w:p>
      <w:pPr>
        <w:spacing w:after="0"/>
        <w:ind w:left="0"/>
        <w:jc w:val="both"/>
      </w:pPr>
      <w:r>
        <w:rPr>
          <w:rFonts w:ascii="Times New Roman"/>
          <w:b w:val="false"/>
          <w:i w:val="false"/>
          <w:color w:val="000000"/>
          <w:sz w:val="28"/>
        </w:rPr>
        <w:t>
      7) generate notifications on the calculated amount of tax and social payments for individual entrepreneurs who apply a special tax regime based on a patent and cancelling the submission of a patent cost calculation;</w:t>
      </w:r>
    </w:p>
    <w:bookmarkEnd w:id="36"/>
    <w:bookmarkStart w:name="z40" w:id="37"/>
    <w:p>
      <w:pPr>
        <w:spacing w:after="0"/>
        <w:ind w:left="0"/>
        <w:jc w:val="both"/>
      </w:pPr>
      <w:r>
        <w:rPr>
          <w:rFonts w:ascii="Times New Roman"/>
          <w:b w:val="false"/>
          <w:i w:val="false"/>
          <w:color w:val="000000"/>
          <w:sz w:val="28"/>
        </w:rPr>
        <w:t>
      8) do automatic pre-filling and filing of the simplified tax return with the state tax authorities</w:t>
      </w:r>
    </w:p>
    <w:bookmarkEnd w:id="37"/>
    <w:bookmarkStart w:name="z41" w:id="38"/>
    <w:p>
      <w:pPr>
        <w:spacing w:after="0"/>
        <w:ind w:left="0"/>
        <w:jc w:val="both"/>
      </w:pPr>
      <w:r>
        <w:rPr>
          <w:rFonts w:ascii="Times New Roman"/>
          <w:b w:val="false"/>
          <w:i w:val="false"/>
          <w:color w:val="000000"/>
          <w:sz w:val="28"/>
        </w:rPr>
        <w:t>
      9) suspend (extend, renew) tax returns, under Articles 213 and 214 of the Tax Code;</w:t>
      </w:r>
    </w:p>
    <w:bookmarkEnd w:id="38"/>
    <w:bookmarkStart w:name="z42" w:id="39"/>
    <w:p>
      <w:pPr>
        <w:spacing w:after="0"/>
        <w:ind w:left="0"/>
        <w:jc w:val="both"/>
      </w:pPr>
      <w:r>
        <w:rPr>
          <w:rFonts w:ascii="Times New Roman"/>
          <w:b w:val="false"/>
          <w:i w:val="false"/>
          <w:color w:val="000000"/>
          <w:sz w:val="28"/>
        </w:rPr>
        <w:t>
      10) terminate business activities under the simplified procedure stipulated in Article 67 of the Tax Code;</w:t>
      </w:r>
    </w:p>
    <w:bookmarkEnd w:id="39"/>
    <w:bookmarkStart w:name="z43" w:id="40"/>
    <w:p>
      <w:pPr>
        <w:spacing w:after="0"/>
        <w:ind w:left="0"/>
        <w:jc w:val="both"/>
      </w:pPr>
      <w:r>
        <w:rPr>
          <w:rFonts w:ascii="Times New Roman"/>
          <w:b w:val="false"/>
          <w:i w:val="false"/>
          <w:color w:val="000000"/>
          <w:sz w:val="28"/>
        </w:rPr>
        <w:t>
      11) obtain certificates of registration as an individual entrepreneur and proof of income;</w:t>
      </w:r>
    </w:p>
    <w:bookmarkEnd w:id="40"/>
    <w:bookmarkStart w:name="z44" w:id="41"/>
    <w:p>
      <w:pPr>
        <w:spacing w:after="0"/>
        <w:ind w:left="0"/>
        <w:jc w:val="both"/>
      </w:pPr>
      <w:r>
        <w:rPr>
          <w:rFonts w:ascii="Times New Roman"/>
          <w:b w:val="false"/>
          <w:i w:val="false"/>
          <w:color w:val="000000"/>
          <w:sz w:val="28"/>
        </w:rPr>
        <w:t>
      12) receive separate notifications under paragraph 2 of Article 114 of the Tax Code;</w:t>
      </w:r>
    </w:p>
    <w:bookmarkEnd w:id="41"/>
    <w:bookmarkStart w:name="z45" w:id="42"/>
    <w:p>
      <w:pPr>
        <w:spacing w:after="0"/>
        <w:ind w:left="0"/>
        <w:jc w:val="both"/>
      </w:pPr>
      <w:r>
        <w:rPr>
          <w:rFonts w:ascii="Times New Roman"/>
          <w:b w:val="false"/>
          <w:i w:val="false"/>
          <w:color w:val="000000"/>
          <w:sz w:val="28"/>
        </w:rPr>
        <w:t>
      13) pay taxes and social security payments accrued as a result of the automated calculation.</w:t>
      </w:r>
    </w:p>
    <w:bookmarkEnd w:id="42"/>
    <w:bookmarkStart w:name="z46" w:id="43"/>
    <w:p>
      <w:pPr>
        <w:spacing w:after="0"/>
        <w:ind w:left="0"/>
        <w:jc w:val="both"/>
      </w:pPr>
      <w:r>
        <w:rPr>
          <w:rFonts w:ascii="Times New Roman"/>
          <w:b w:val="false"/>
          <w:i w:val="false"/>
          <w:color w:val="000000"/>
          <w:sz w:val="28"/>
        </w:rPr>
        <w:t>
      8. A taxpayer shall:</w:t>
      </w:r>
    </w:p>
    <w:bookmarkEnd w:id="43"/>
    <w:bookmarkStart w:name="z47" w:id="44"/>
    <w:p>
      <w:pPr>
        <w:spacing w:after="0"/>
        <w:ind w:left="0"/>
        <w:jc w:val="both"/>
      </w:pPr>
      <w:r>
        <w:rPr>
          <w:rFonts w:ascii="Times New Roman"/>
          <w:b w:val="false"/>
          <w:i w:val="false"/>
          <w:color w:val="000000"/>
          <w:sz w:val="28"/>
        </w:rPr>
        <w:t>
      1) fulfil tax obligations under the Tax Code, using the mobile application;</w:t>
      </w:r>
    </w:p>
    <w:bookmarkEnd w:id="44"/>
    <w:bookmarkStart w:name="z48" w:id="45"/>
    <w:p>
      <w:pPr>
        <w:spacing w:after="0"/>
        <w:ind w:left="0"/>
        <w:jc w:val="both"/>
      </w:pPr>
      <w:r>
        <w:rPr>
          <w:rFonts w:ascii="Times New Roman"/>
          <w:b w:val="false"/>
          <w:i w:val="false"/>
          <w:color w:val="000000"/>
          <w:sz w:val="28"/>
        </w:rPr>
        <w:t>
      2) obtain clarification from the state revenue authorities on how to use the mobile application.</w:t>
      </w:r>
    </w:p>
    <w:bookmarkEnd w:id="45"/>
    <w:bookmarkStart w:name="z49" w:id="46"/>
    <w:p>
      <w:pPr>
        <w:spacing w:after="0"/>
        <w:ind w:left="0"/>
        <w:jc w:val="both"/>
      </w:pPr>
      <w:r>
        <w:rPr>
          <w:rFonts w:ascii="Times New Roman"/>
          <w:b w:val="false"/>
          <w:i w:val="false"/>
          <w:color w:val="000000"/>
          <w:sz w:val="28"/>
        </w:rPr>
        <w:t>
      9. State revenue authorities shall:</w:t>
      </w:r>
    </w:p>
    <w:bookmarkEnd w:id="46"/>
    <w:bookmarkStart w:name="z50" w:id="47"/>
    <w:p>
      <w:pPr>
        <w:spacing w:after="0"/>
        <w:ind w:left="0"/>
        <w:jc w:val="both"/>
      </w:pPr>
      <w:r>
        <w:rPr>
          <w:rFonts w:ascii="Times New Roman"/>
          <w:b w:val="false"/>
          <w:i w:val="false"/>
          <w:color w:val="000000"/>
          <w:sz w:val="28"/>
        </w:rPr>
        <w:t>
      1) provide taxpayers with guidance on how to use the mobile application;</w:t>
      </w:r>
    </w:p>
    <w:bookmarkEnd w:id="47"/>
    <w:bookmarkStart w:name="z51" w:id="48"/>
    <w:p>
      <w:pPr>
        <w:spacing w:after="0"/>
        <w:ind w:left="0"/>
        <w:jc w:val="both"/>
      </w:pPr>
      <w:r>
        <w:rPr>
          <w:rFonts w:ascii="Times New Roman"/>
          <w:b w:val="false"/>
          <w:i w:val="false"/>
          <w:color w:val="000000"/>
          <w:sz w:val="28"/>
        </w:rPr>
        <w:t>
      2) keep a record of persons in the state revenue authorities who are registered as users of the mobile application.</w:t>
      </w:r>
    </w:p>
    <w:bookmarkEnd w:id="48"/>
    <w:bookmarkStart w:name="z52" w:id="49"/>
    <w:p>
      <w:pPr>
        <w:spacing w:after="0"/>
        <w:ind w:left="0"/>
        <w:jc w:val="both"/>
      </w:pPr>
      <w:r>
        <w:rPr>
          <w:rFonts w:ascii="Times New Roman"/>
          <w:b w:val="false"/>
          <w:i w:val="false"/>
          <w:color w:val="000000"/>
          <w:sz w:val="28"/>
        </w:rPr>
        <w:t>
      10. The collection, processing and protection of personal data when using the mobile application shall be in compliance with the legislation of the Republic of Kazakhstan on personal data and its protection.</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