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346c7" w14:textId="85346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Cooperation of Authorised Second-Tier Banks, Organisations Conducting Certain Types of Banking Operations, Electronic Platform Operators with State Revenue Authorities for the Purpose of Transferring Transaction Data to a Special Mobile Application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1125 of the Acting Minister of Finance of the Republic of Kazakhstan dated October 30, 2021. Registered with the Ministry of Justice of the Republic of Kazakhstan on October 30, 2021 under No. 24975</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Note by the ILLI!</w:t>
      </w:r>
      <w:r>
        <w:br/>
      </w:r>
      <w:r>
        <w:rPr>
          <w:rFonts w:ascii="Times New Roman"/>
          <w:b w:val="false"/>
          <w:i w:val="false"/>
          <w:color w:val="ff0000"/>
          <w:sz w:val="28"/>
        </w:rPr>
        <w:t xml:space="preserve"> See paragraph 3 for the enactment procedure of this order.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Under paragraph 5 of Article 686-1 of the Code of the Republic of Kazakhstan “On Taxes and Other Obligatory Payments to the Budget” (Tax Code)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That the attached Rules for Cooperation of Authorised Second-Tier Banks, Organisations Conducting Certain Types of Banking Operations, Electronic Platform Operators with State Revenue Authorities for the Purpose of Transferring Transaction Data to a Special Mobile Application shall be approved.</w:t>
      </w:r>
    </w:p>
    <w:bookmarkEnd w:id="1"/>
    <w:bookmarkStart w:name="z3" w:id="2"/>
    <w:p>
      <w:pPr>
        <w:spacing w:after="0"/>
        <w:ind w:left="0"/>
        <w:jc w:val="both"/>
      </w:pPr>
      <w:r>
        <w:rPr>
          <w:rFonts w:ascii="Times New Roman"/>
          <w:b w:val="false"/>
          <w:i w:val="false"/>
          <w:color w:val="000000"/>
          <w:sz w:val="28"/>
        </w:rPr>
        <w:t>
      2. That, pursuant to the procedure established by the legislation of the Republic of Kazakhstan, the State Revenue Committee of the Ministry of Finance of the Republic of Kazakhstan shall:</w:t>
      </w:r>
    </w:p>
    <w:bookmarkEnd w:id="2"/>
    <w:bookmarkStart w:name="z4" w:id="3"/>
    <w:p>
      <w:pPr>
        <w:spacing w:after="0"/>
        <w:ind w:left="0"/>
        <w:jc w:val="both"/>
      </w:pPr>
      <w:r>
        <w:rPr>
          <w:rFonts w:ascii="Times New Roman"/>
          <w:b w:val="false"/>
          <w:i w:val="false"/>
          <w:color w:val="000000"/>
          <w:sz w:val="28"/>
        </w:rPr>
        <w:t>
      1) ensure the state registration hereof with the Ministry of Justice of the Republic of Kazakhstan;</w:t>
      </w:r>
    </w:p>
    <w:bookmarkEnd w:id="3"/>
    <w:bookmarkStart w:name="z5" w:id="4"/>
    <w:p>
      <w:pPr>
        <w:spacing w:after="0"/>
        <w:ind w:left="0"/>
        <w:jc w:val="both"/>
      </w:pPr>
      <w:r>
        <w:rPr>
          <w:rFonts w:ascii="Times New Roman"/>
          <w:b w:val="false"/>
          <w:i w:val="false"/>
          <w:color w:val="000000"/>
          <w:sz w:val="28"/>
        </w:rPr>
        <w:t>
      2) publish this order on the website of the Ministry of Finance of the Republic of Kazakhstan;</w:t>
      </w:r>
    </w:p>
    <w:bookmarkEnd w:id="4"/>
    <w:bookmarkStart w:name="z6" w:id="5"/>
    <w:p>
      <w:pPr>
        <w:spacing w:after="0"/>
        <w:ind w:left="0"/>
        <w:jc w:val="both"/>
      </w:pPr>
      <w:r>
        <w:rPr>
          <w:rFonts w:ascii="Times New Roman"/>
          <w:b w:val="false"/>
          <w:i w:val="false"/>
          <w:color w:val="000000"/>
          <w:sz w:val="28"/>
        </w:rPr>
        <w:t>
      3) within ten working days after the state registration hereof with the Ministry of Justice of the Republic of Kazakhstan, submit to the Legal Service Department of the Ministry of Finance of the Republic of Kazakhstan details on the fulfilment of the measures envisaged in sub-paragraphs 1) and 2) of this paragraph.</w:t>
      </w:r>
    </w:p>
    <w:bookmarkEnd w:id="5"/>
    <w:bookmarkStart w:name="z7" w:id="6"/>
    <w:p>
      <w:pPr>
        <w:spacing w:after="0"/>
        <w:ind w:left="0"/>
        <w:jc w:val="both"/>
      </w:pPr>
      <w:r>
        <w:rPr>
          <w:rFonts w:ascii="Times New Roman"/>
          <w:b w:val="false"/>
          <w:i w:val="false"/>
          <w:color w:val="000000"/>
          <w:sz w:val="28"/>
        </w:rPr>
        <w:t>
      3. That this order shall be effective from January 1, 2022, and shall be subject to official publication.</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Acting Minister of Finance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Sultangaziyev</w:t>
            </w:r>
            <w:r>
              <w:rPr>
                <w:rFonts w:ascii="Times New Roman"/>
                <w:b w:val="false"/>
                <w:i w:val="false"/>
                <w:color w:val="000000"/>
                <w:sz w:val="20"/>
              </w:rPr>
              <w:t>
</w:t>
            </w:r>
          </w:p>
        </w:tc>
      </w:tr>
    </w:tbl>
    <w:p>
      <w:pPr>
        <w:spacing w:after="0"/>
        <w:ind w:left="0"/>
        <w:jc w:val="both"/>
      </w:pPr>
      <w:bookmarkStart w:name="z9" w:id="7"/>
      <w:r>
        <w:rPr>
          <w:rFonts w:ascii="Times New Roman"/>
          <w:b w:val="false"/>
          <w:i w:val="false"/>
          <w:color w:val="000000"/>
          <w:sz w:val="28"/>
        </w:rPr>
        <w:t>
      “APPROVED BY”</w:t>
      </w:r>
    </w:p>
    <w:bookmarkEnd w:id="7"/>
    <w:p>
      <w:pPr>
        <w:spacing w:after="0"/>
        <w:ind w:left="0"/>
        <w:jc w:val="both"/>
      </w:pPr>
      <w:r>
        <w:rPr>
          <w:rFonts w:ascii="Times New Roman"/>
          <w:b w:val="false"/>
          <w:i w:val="false"/>
          <w:color w:val="000000"/>
          <w:sz w:val="28"/>
        </w:rPr>
        <w:t xml:space="preserve">National Bank </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Acting </w:t>
            </w:r>
            <w:r>
              <w:br/>
            </w:r>
            <w:r>
              <w:rPr>
                <w:rFonts w:ascii="Times New Roman"/>
                <w:b w:val="false"/>
                <w:i w:val="false"/>
                <w:color w:val="000000"/>
                <w:sz w:val="20"/>
              </w:rPr>
              <w:t>Minister of Finance No. 1125</w:t>
            </w:r>
            <w:r>
              <w:br/>
            </w:r>
            <w:r>
              <w:rPr>
                <w:rFonts w:ascii="Times New Roman"/>
                <w:b w:val="false"/>
                <w:i w:val="false"/>
                <w:color w:val="000000"/>
                <w:sz w:val="20"/>
              </w:rPr>
              <w:t xml:space="preserve"> of October 30, 2021</w:t>
            </w:r>
          </w:p>
        </w:tc>
      </w:tr>
    </w:tbl>
    <w:bookmarkStart w:name="z11" w:id="8"/>
    <w:p>
      <w:pPr>
        <w:spacing w:after="0"/>
        <w:ind w:left="0"/>
        <w:jc w:val="left"/>
      </w:pPr>
      <w:r>
        <w:rPr>
          <w:rFonts w:ascii="Times New Roman"/>
          <w:b/>
          <w:i w:val="false"/>
          <w:color w:val="000000"/>
        </w:rPr>
        <w:t xml:space="preserve"> Rules for Cooperation of Authorised Second-Tier Banks, Organisations Conducting Certain Types of Banking Operations, Electronic Platform Operators with State Revenue Authorities for the Purpose of Transferring Transaction Data to a Special Mobile Application</w:t>
      </w:r>
    </w:p>
    <w:bookmarkEnd w:id="8"/>
    <w:bookmarkStart w:name="z12" w:id="9"/>
    <w:p>
      <w:pPr>
        <w:spacing w:after="0"/>
        <w:ind w:left="0"/>
        <w:jc w:val="left"/>
      </w:pPr>
      <w:r>
        <w:rPr>
          <w:rFonts w:ascii="Times New Roman"/>
          <w:b/>
          <w:i w:val="false"/>
          <w:color w:val="000000"/>
        </w:rPr>
        <w:t xml:space="preserve"> Chapter 1. General provisions</w:t>
      </w:r>
    </w:p>
    <w:bookmarkEnd w:id="9"/>
    <w:bookmarkStart w:name="z13" w:id="10"/>
    <w:p>
      <w:pPr>
        <w:spacing w:after="0"/>
        <w:ind w:left="0"/>
        <w:jc w:val="both"/>
      </w:pPr>
      <w:r>
        <w:rPr>
          <w:rFonts w:ascii="Times New Roman"/>
          <w:b w:val="false"/>
          <w:i w:val="false"/>
          <w:color w:val="000000"/>
          <w:sz w:val="28"/>
        </w:rPr>
        <w:t>
      1. These Rules for Cooperation of Authorised Second-Tier Banks, Organisations Conducting Certain Types of Banking Operations, Electronic Platform Operators with State Revenue Authorities for the Purpose of Transferring Transaction Data to a Special Mobile Application (hereinafter - the Rules) have been developed under paragraph 5 of Article 686-1 of the Code of the Republic of Kazakhstan "On Taxes and Other Obligatory Payments to the Budget" (the Tax Code) and specify the procedure for interaction between authorised second-tier banks, organisations involved in certain types of banking operations and electronic site operators with the state revenue authorities for the purposes of transferring information on transactions to a special mobile application.</w:t>
      </w:r>
    </w:p>
    <w:bookmarkEnd w:id="10"/>
    <w:bookmarkStart w:name="z14" w:id="11"/>
    <w:p>
      <w:pPr>
        <w:spacing w:after="0"/>
        <w:ind w:left="0"/>
        <w:jc w:val="both"/>
      </w:pPr>
      <w:r>
        <w:rPr>
          <w:rFonts w:ascii="Times New Roman"/>
          <w:b w:val="false"/>
          <w:i w:val="false"/>
          <w:color w:val="000000"/>
          <w:sz w:val="28"/>
        </w:rPr>
        <w:t>
      2. Information exchange shall be effected between the State Revenue Committee of the Ministry of Finance of the Republic of Kazakhstan (hereinafter referred to as the Committee), second-tier banks, organisations involved in certain types of banking operations (hereinafter referred to as the Banks and organisations) and electronic trading platform operators (hereinafter referred to as the Operators).</w:t>
      </w:r>
    </w:p>
    <w:bookmarkEnd w:id="11"/>
    <w:bookmarkStart w:name="z15" w:id="12"/>
    <w:p>
      <w:pPr>
        <w:spacing w:after="0"/>
        <w:ind w:left="0"/>
        <w:jc w:val="both"/>
      </w:pPr>
      <w:r>
        <w:rPr>
          <w:rFonts w:ascii="Times New Roman"/>
          <w:b w:val="false"/>
          <w:i w:val="false"/>
          <w:color w:val="000000"/>
          <w:sz w:val="28"/>
        </w:rPr>
        <w:t>
      3. For the purposes hereof, data on transactions to the Special Mobile Application (hereinafter referred to as Information) shall refer to information on the amounts of payments in favour of individual entrepreneurs using the Special Mobile Application (hereinafter referred to as individual entrepreneurs) received in bank accounts, as well as the amounts of income received by individual entrepreneurs from Operators.</w:t>
      </w:r>
    </w:p>
    <w:bookmarkEnd w:id="12"/>
    <w:bookmarkStart w:name="z16" w:id="13"/>
    <w:p>
      <w:pPr>
        <w:spacing w:after="0"/>
        <w:ind w:left="0"/>
        <w:jc w:val="left"/>
      </w:pPr>
      <w:r>
        <w:rPr>
          <w:rFonts w:ascii="Times New Roman"/>
          <w:b/>
          <w:i w:val="false"/>
          <w:color w:val="000000"/>
        </w:rPr>
        <w:t xml:space="preserve"> Chapter 2. Procedure for cooperation between authorised second-tier banks, organisations involved in certain types of banking transactions, operators of electronic platforms with the state revenue authorities</w:t>
      </w:r>
    </w:p>
    <w:bookmarkEnd w:id="13"/>
    <w:bookmarkStart w:name="z17" w:id="14"/>
    <w:p>
      <w:pPr>
        <w:spacing w:after="0"/>
        <w:ind w:left="0"/>
        <w:jc w:val="both"/>
      </w:pPr>
      <w:r>
        <w:rPr>
          <w:rFonts w:ascii="Times New Roman"/>
          <w:b w:val="false"/>
          <w:i w:val="false"/>
          <w:color w:val="000000"/>
          <w:sz w:val="28"/>
        </w:rPr>
        <w:t>
      4. The data shall be transferred from the information systems of Banks and Institutions (Banks and Institutions IS), Operators' information systems (Operators IS) based on the consent of individual entrepreneurs to the Committee's Integrated Database Information System (CIDIS).</w:t>
      </w:r>
    </w:p>
    <w:bookmarkEnd w:id="14"/>
    <w:bookmarkStart w:name="z18" w:id="15"/>
    <w:p>
      <w:pPr>
        <w:spacing w:after="0"/>
        <w:ind w:left="0"/>
        <w:jc w:val="both"/>
      </w:pPr>
      <w:r>
        <w:rPr>
          <w:rFonts w:ascii="Times New Roman"/>
          <w:b w:val="false"/>
          <w:i w:val="false"/>
          <w:color w:val="000000"/>
          <w:sz w:val="28"/>
        </w:rPr>
        <w:t>
      The information shall be exchanged by means of the following information systems:</w:t>
      </w:r>
    </w:p>
    <w:bookmarkEnd w:id="15"/>
    <w:bookmarkStart w:name="z19" w:id="16"/>
    <w:p>
      <w:pPr>
        <w:spacing w:after="0"/>
        <w:ind w:left="0"/>
        <w:jc w:val="both"/>
      </w:pPr>
      <w:r>
        <w:rPr>
          <w:rFonts w:ascii="Times New Roman"/>
          <w:b w:val="false"/>
          <w:i w:val="false"/>
          <w:color w:val="000000"/>
          <w:sz w:val="28"/>
        </w:rPr>
        <w:t>
      information systems of banks and organisations (IS of banks and organisations) - initiator of information exchange and data provider;</w:t>
      </w:r>
    </w:p>
    <w:bookmarkEnd w:id="16"/>
    <w:bookmarkStart w:name="z20" w:id="17"/>
    <w:p>
      <w:pPr>
        <w:spacing w:after="0"/>
        <w:ind w:left="0"/>
        <w:jc w:val="both"/>
      </w:pPr>
      <w:r>
        <w:rPr>
          <w:rFonts w:ascii="Times New Roman"/>
          <w:b w:val="false"/>
          <w:i w:val="false"/>
          <w:color w:val="000000"/>
          <w:sz w:val="28"/>
        </w:rPr>
        <w:t>
      Operator information systems (Operator IS) - initiator of information exchange and data provider;</w:t>
      </w:r>
    </w:p>
    <w:bookmarkEnd w:id="17"/>
    <w:bookmarkStart w:name="z21" w:id="18"/>
    <w:p>
      <w:pPr>
        <w:spacing w:after="0"/>
        <w:ind w:left="0"/>
        <w:jc w:val="both"/>
      </w:pPr>
      <w:r>
        <w:rPr>
          <w:rFonts w:ascii="Times New Roman"/>
          <w:b w:val="false"/>
          <w:i w:val="false"/>
          <w:color w:val="000000"/>
          <w:sz w:val="28"/>
        </w:rPr>
        <w:t>
      Integrated Database Information System (IDIS) - recipient of information and initiator of information exchange.</w:t>
      </w:r>
    </w:p>
    <w:bookmarkEnd w:id="18"/>
    <w:bookmarkStart w:name="z22" w:id="19"/>
    <w:p>
      <w:pPr>
        <w:spacing w:after="0"/>
        <w:ind w:left="0"/>
        <w:jc w:val="both"/>
      </w:pPr>
      <w:r>
        <w:rPr>
          <w:rFonts w:ascii="Times New Roman"/>
          <w:b w:val="false"/>
          <w:i w:val="false"/>
          <w:color w:val="000000"/>
          <w:sz w:val="28"/>
        </w:rPr>
        <w:t>
      5. Information from the IS of Banks and Institutions, IS of Operators to the IDIS shall be transferred daily by means of electronic documents in XML-format.</w:t>
      </w:r>
    </w:p>
    <w:bookmarkEnd w:id="19"/>
    <w:bookmarkStart w:name="z23" w:id="20"/>
    <w:p>
      <w:pPr>
        <w:spacing w:after="0"/>
        <w:ind w:left="0"/>
        <w:jc w:val="both"/>
      </w:pPr>
      <w:r>
        <w:rPr>
          <w:rFonts w:ascii="Times New Roman"/>
          <w:b w:val="false"/>
          <w:i w:val="false"/>
          <w:color w:val="000000"/>
          <w:sz w:val="28"/>
        </w:rPr>
        <w:t>
      Banks and organisations, Operators shall forward a request for a list of self-employed persons to the IDIS.</w:t>
      </w:r>
    </w:p>
    <w:bookmarkEnd w:id="20"/>
    <w:bookmarkStart w:name="z24" w:id="21"/>
    <w:p>
      <w:pPr>
        <w:spacing w:after="0"/>
        <w:ind w:left="0"/>
        <w:jc w:val="both"/>
      </w:pPr>
      <w:r>
        <w:rPr>
          <w:rFonts w:ascii="Times New Roman"/>
          <w:b w:val="false"/>
          <w:i w:val="false"/>
          <w:color w:val="000000"/>
          <w:sz w:val="28"/>
        </w:rPr>
        <w:t>
      6. Banks and organisations integrated with a dedicated mobile application platform shall use the following services:</w:t>
      </w:r>
    </w:p>
    <w:bookmarkEnd w:id="21"/>
    <w:bookmarkStart w:name="z25" w:id="22"/>
    <w:p>
      <w:pPr>
        <w:spacing w:after="0"/>
        <w:ind w:left="0"/>
        <w:jc w:val="both"/>
      </w:pPr>
      <w:r>
        <w:rPr>
          <w:rFonts w:ascii="Times New Roman"/>
          <w:b w:val="false"/>
          <w:i w:val="false"/>
          <w:color w:val="000000"/>
          <w:sz w:val="28"/>
        </w:rPr>
        <w:t>
      bank account opening service for self-employed people;</w:t>
      </w:r>
    </w:p>
    <w:bookmarkEnd w:id="22"/>
    <w:bookmarkStart w:name="z26" w:id="23"/>
    <w:p>
      <w:pPr>
        <w:spacing w:after="0"/>
        <w:ind w:left="0"/>
        <w:jc w:val="both"/>
      </w:pPr>
      <w:r>
        <w:rPr>
          <w:rFonts w:ascii="Times New Roman"/>
          <w:b w:val="false"/>
          <w:i w:val="false"/>
          <w:color w:val="000000"/>
          <w:sz w:val="28"/>
        </w:rPr>
        <w:t>
      a service for transferring data on the crediting of payments to the self-employed person's bank account;</w:t>
      </w:r>
    </w:p>
    <w:bookmarkEnd w:id="23"/>
    <w:bookmarkStart w:name="z27" w:id="24"/>
    <w:p>
      <w:pPr>
        <w:spacing w:after="0"/>
        <w:ind w:left="0"/>
        <w:jc w:val="both"/>
      </w:pPr>
      <w:r>
        <w:rPr>
          <w:rFonts w:ascii="Times New Roman"/>
          <w:b w:val="false"/>
          <w:i w:val="false"/>
          <w:color w:val="000000"/>
          <w:sz w:val="28"/>
        </w:rPr>
        <w:t>
      generating, transferring, cancelling cheques for cash and non-cash transactions in a dedicated mobile application;</w:t>
      </w:r>
    </w:p>
    <w:bookmarkEnd w:id="24"/>
    <w:bookmarkStart w:name="z28" w:id="25"/>
    <w:p>
      <w:pPr>
        <w:spacing w:after="0"/>
        <w:ind w:left="0"/>
        <w:jc w:val="both"/>
      </w:pPr>
      <w:r>
        <w:rPr>
          <w:rFonts w:ascii="Times New Roman"/>
          <w:b w:val="false"/>
          <w:i w:val="false"/>
          <w:color w:val="000000"/>
          <w:sz w:val="28"/>
        </w:rPr>
        <w:t>
      payment of taxes and social security payments.</w:t>
      </w:r>
    </w:p>
    <w:bookmarkEnd w:id="25"/>
    <w:bookmarkStart w:name="z29" w:id="26"/>
    <w:p>
      <w:pPr>
        <w:spacing w:after="0"/>
        <w:ind w:left="0"/>
        <w:jc w:val="both"/>
      </w:pPr>
      <w:r>
        <w:rPr>
          <w:rFonts w:ascii="Times New Roman"/>
          <w:b w:val="false"/>
          <w:i w:val="false"/>
          <w:color w:val="000000"/>
          <w:sz w:val="28"/>
        </w:rPr>
        <w:t>
      7. In the absence of integration cooperation with Banks and Institutions, Operators:</w:t>
      </w:r>
    </w:p>
    <w:bookmarkEnd w:id="26"/>
    <w:bookmarkStart w:name="z30" w:id="27"/>
    <w:p>
      <w:pPr>
        <w:spacing w:after="0"/>
        <w:ind w:left="0"/>
        <w:jc w:val="both"/>
      </w:pPr>
      <w:r>
        <w:rPr>
          <w:rFonts w:ascii="Times New Roman"/>
          <w:b w:val="false"/>
          <w:i w:val="false"/>
          <w:color w:val="000000"/>
          <w:sz w:val="28"/>
        </w:rPr>
        <w:t>
      The Committee shall generate in Microsoft Excel format a list of individual entrepreneurs, indicating the individual identification number;</w:t>
      </w:r>
    </w:p>
    <w:bookmarkEnd w:id="27"/>
    <w:bookmarkStart w:name="z31" w:id="28"/>
    <w:p>
      <w:pPr>
        <w:spacing w:after="0"/>
        <w:ind w:left="0"/>
        <w:jc w:val="both"/>
      </w:pPr>
      <w:r>
        <w:rPr>
          <w:rFonts w:ascii="Times New Roman"/>
          <w:b w:val="false"/>
          <w:i w:val="false"/>
          <w:color w:val="000000"/>
          <w:sz w:val="28"/>
        </w:rPr>
        <w:t>
      Within ten (10) calendar days of the establishment of the list, the Committee shall forward a request for information to the Banks and organisations, Operators, enclosing the list of individual entrepreneurs.</w:t>
      </w:r>
    </w:p>
    <w:bookmarkEnd w:id="28"/>
    <w:bookmarkStart w:name="z32" w:id="29"/>
    <w:p>
      <w:pPr>
        <w:spacing w:after="0"/>
        <w:ind w:left="0"/>
        <w:jc w:val="both"/>
      </w:pPr>
      <w:r>
        <w:rPr>
          <w:rFonts w:ascii="Times New Roman"/>
          <w:b w:val="false"/>
          <w:i w:val="false"/>
          <w:color w:val="000000"/>
          <w:sz w:val="28"/>
        </w:rPr>
        <w:t>
      Within 20 (twenty) working days of receipt of a request for the submission of information based on the consent of the individual entrepreneur, the banks and organisations, the Operators shall send to the Committee the data on the total amount of payments received in the account of the individual entrepreneur using the special mobile application as an electronic document in Microsoft Excel or CSV format as per the form annexed hereto.</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to the Rules for </w:t>
            </w:r>
            <w:r>
              <w:br/>
            </w:r>
            <w:r>
              <w:rPr>
                <w:rFonts w:ascii="Times New Roman"/>
                <w:b w:val="false"/>
                <w:i w:val="false"/>
                <w:color w:val="000000"/>
                <w:sz w:val="20"/>
              </w:rPr>
              <w:t xml:space="preserve">Cooperation of Authorised </w:t>
            </w:r>
            <w:r>
              <w:br/>
            </w:r>
            <w:r>
              <w:rPr>
                <w:rFonts w:ascii="Times New Roman"/>
                <w:b w:val="false"/>
                <w:i w:val="false"/>
                <w:color w:val="000000"/>
                <w:sz w:val="20"/>
              </w:rPr>
              <w:t xml:space="preserve">Second-Tier Bank, Organisations </w:t>
            </w:r>
            <w:r>
              <w:br/>
            </w:r>
            <w:r>
              <w:rPr>
                <w:rFonts w:ascii="Times New Roman"/>
                <w:b w:val="false"/>
                <w:i w:val="false"/>
                <w:color w:val="000000"/>
                <w:sz w:val="20"/>
              </w:rPr>
              <w:t xml:space="preserve">Conducting Certain Types of </w:t>
            </w:r>
            <w:r>
              <w:br/>
            </w:r>
            <w:r>
              <w:rPr>
                <w:rFonts w:ascii="Times New Roman"/>
                <w:b w:val="false"/>
                <w:i w:val="false"/>
                <w:color w:val="000000"/>
                <w:sz w:val="20"/>
              </w:rPr>
              <w:t xml:space="preserve">Banking Operations, Electronic </w:t>
            </w:r>
            <w:r>
              <w:br/>
            </w:r>
            <w:r>
              <w:rPr>
                <w:rFonts w:ascii="Times New Roman"/>
                <w:b w:val="false"/>
                <w:i w:val="false"/>
                <w:color w:val="000000"/>
                <w:sz w:val="20"/>
              </w:rPr>
              <w:t xml:space="preserve">Platform Operators with State </w:t>
            </w:r>
            <w:r>
              <w:br/>
            </w:r>
            <w:r>
              <w:rPr>
                <w:rFonts w:ascii="Times New Roman"/>
                <w:b w:val="false"/>
                <w:i w:val="false"/>
                <w:color w:val="000000"/>
                <w:sz w:val="20"/>
              </w:rPr>
              <w:t xml:space="preserve">Revenue Authorities for the </w:t>
            </w:r>
            <w:r>
              <w:br/>
            </w:r>
            <w:r>
              <w:rPr>
                <w:rFonts w:ascii="Times New Roman"/>
                <w:b w:val="false"/>
                <w:i w:val="false"/>
                <w:color w:val="000000"/>
                <w:sz w:val="20"/>
              </w:rPr>
              <w:t xml:space="preserve">Purpose of Transferring </w:t>
            </w:r>
            <w:r>
              <w:br/>
            </w:r>
            <w:r>
              <w:rPr>
                <w:rFonts w:ascii="Times New Roman"/>
                <w:b w:val="false"/>
                <w:i w:val="false"/>
                <w:color w:val="000000"/>
                <w:sz w:val="20"/>
              </w:rPr>
              <w:t xml:space="preserve">Transaction Data to a Special </w:t>
            </w:r>
            <w:r>
              <w:br/>
            </w:r>
            <w:r>
              <w:rPr>
                <w:rFonts w:ascii="Times New Roman"/>
                <w:b w:val="false"/>
                <w:i w:val="false"/>
                <w:color w:val="000000"/>
                <w:sz w:val="20"/>
              </w:rPr>
              <w:t xml:space="preserve">Mobile Application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35" w:id="30"/>
    <w:p>
      <w:pPr>
        <w:spacing w:after="0"/>
        <w:ind w:left="0"/>
        <w:jc w:val="left"/>
      </w:pPr>
      <w:r>
        <w:rPr>
          <w:rFonts w:ascii="Times New Roman"/>
          <w:b/>
          <w:i w:val="false"/>
          <w:color w:val="000000"/>
        </w:rPr>
        <w:t xml:space="preserve"> Information on the total amount of payments received into the account of an individual entrepreneur using the special mobile application</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s/o</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Year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entrepreneur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bank (branch, subdivision of the bank), organisation where the bank accounts are opened</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bank account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of the bank account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account number</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payments received per calendar month (KZT)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BIK (sort 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36" w:id="31"/>
    <w:p>
      <w:pPr>
        <w:spacing w:after="0"/>
        <w:ind w:left="0"/>
        <w:jc w:val="both"/>
      </w:pPr>
      <w:r>
        <w:rPr>
          <w:rFonts w:ascii="Times New Roman"/>
          <w:b w:val="false"/>
          <w:i w:val="false"/>
          <w:color w:val="000000"/>
          <w:sz w:val="28"/>
        </w:rPr>
        <w:t>
      __________________________________________________________________________</w:t>
      </w:r>
    </w:p>
    <w:bookmarkEnd w:id="31"/>
    <w:bookmarkStart w:name="z37" w:id="32"/>
    <w:p>
      <w:pPr>
        <w:spacing w:after="0"/>
        <w:ind w:left="0"/>
        <w:jc w:val="both"/>
      </w:pPr>
      <w:r>
        <w:rPr>
          <w:rFonts w:ascii="Times New Roman"/>
          <w:b w:val="false"/>
          <w:i w:val="false"/>
          <w:color w:val="000000"/>
          <w:sz w:val="28"/>
        </w:rPr>
        <w:t>
      (surname, first name, patronymic (if any) of the person responsible for drawing up the form, signature)</w:t>
      </w:r>
    </w:p>
    <w:bookmarkEnd w:id="32"/>
    <w:bookmarkStart w:name="z38" w:id="33"/>
    <w:p>
      <w:pPr>
        <w:spacing w:after="0"/>
        <w:ind w:left="0"/>
        <w:jc w:val="both"/>
      </w:pPr>
      <w:r>
        <w:rPr>
          <w:rFonts w:ascii="Times New Roman"/>
          <w:b w:val="false"/>
          <w:i w:val="false"/>
          <w:color w:val="000000"/>
          <w:sz w:val="28"/>
        </w:rPr>
        <w:t>
      __________________________________________________________________________</w:t>
      </w:r>
    </w:p>
    <w:bookmarkEnd w:id="33"/>
    <w:bookmarkStart w:name="z39" w:id="34"/>
    <w:p>
      <w:pPr>
        <w:spacing w:after="0"/>
        <w:ind w:left="0"/>
        <w:jc w:val="both"/>
      </w:pPr>
      <w:r>
        <w:rPr>
          <w:rFonts w:ascii="Times New Roman"/>
          <w:b w:val="false"/>
          <w:i w:val="false"/>
          <w:color w:val="000000"/>
          <w:sz w:val="28"/>
        </w:rPr>
        <w:t>
      (Name, surname and patronymic (if any) of the head, signature)</w:t>
      </w:r>
    </w:p>
    <w:bookmarkEnd w:id="34"/>
    <w:bookmarkStart w:name="z40" w:id="35"/>
    <w:p>
      <w:pPr>
        <w:spacing w:after="0"/>
        <w:ind w:left="0"/>
        <w:jc w:val="both"/>
      </w:pPr>
      <w:r>
        <w:rPr>
          <w:rFonts w:ascii="Times New Roman"/>
          <w:b w:val="false"/>
          <w:i w:val="false"/>
          <w:color w:val="000000"/>
          <w:sz w:val="28"/>
        </w:rPr>
        <w:t>
      Note:</w:t>
      </w:r>
    </w:p>
    <w:bookmarkEnd w:id="35"/>
    <w:bookmarkStart w:name="z41" w:id="36"/>
    <w:p>
      <w:pPr>
        <w:spacing w:after="0"/>
        <w:ind w:left="0"/>
        <w:jc w:val="both"/>
      </w:pPr>
      <w:r>
        <w:rPr>
          <w:rFonts w:ascii="Times New Roman"/>
          <w:b w:val="false"/>
          <w:i w:val="false"/>
          <w:color w:val="000000"/>
          <w:sz w:val="28"/>
        </w:rPr>
        <w:t>
      abbreviations:</w:t>
      </w:r>
    </w:p>
    <w:bookmarkEnd w:id="36"/>
    <w:bookmarkStart w:name="z42" w:id="37"/>
    <w:p>
      <w:pPr>
        <w:spacing w:after="0"/>
        <w:ind w:left="0"/>
        <w:jc w:val="both"/>
      </w:pPr>
      <w:r>
        <w:rPr>
          <w:rFonts w:ascii="Times New Roman"/>
          <w:b w:val="false"/>
          <w:i w:val="false"/>
          <w:color w:val="000000"/>
          <w:sz w:val="28"/>
        </w:rPr>
        <w:t>
      BIN – business identification number;</w:t>
      </w:r>
    </w:p>
    <w:bookmarkEnd w:id="37"/>
    <w:bookmarkStart w:name="z43" w:id="38"/>
    <w:p>
      <w:pPr>
        <w:spacing w:after="0"/>
        <w:ind w:left="0"/>
        <w:jc w:val="both"/>
      </w:pPr>
      <w:r>
        <w:rPr>
          <w:rFonts w:ascii="Times New Roman"/>
          <w:b w:val="false"/>
          <w:i w:val="false"/>
          <w:color w:val="000000"/>
          <w:sz w:val="28"/>
        </w:rPr>
        <w:t>
      BIK (sort code) – bank identification code;</w:t>
      </w:r>
    </w:p>
    <w:bookmarkEnd w:id="38"/>
    <w:bookmarkStart w:name="z44" w:id="39"/>
    <w:p>
      <w:pPr>
        <w:spacing w:after="0"/>
        <w:ind w:left="0"/>
        <w:jc w:val="both"/>
      </w:pPr>
      <w:r>
        <w:rPr>
          <w:rFonts w:ascii="Times New Roman"/>
          <w:b w:val="false"/>
          <w:i w:val="false"/>
          <w:color w:val="000000"/>
          <w:sz w:val="28"/>
        </w:rPr>
        <w:t>
      IIN – individual identification number;</w:t>
      </w:r>
    </w:p>
    <w:bookmarkEnd w:id="39"/>
    <w:bookmarkStart w:name="z45" w:id="40"/>
    <w:p>
      <w:pPr>
        <w:spacing w:after="0"/>
        <w:ind w:left="0"/>
        <w:jc w:val="both"/>
      </w:pPr>
      <w:r>
        <w:rPr>
          <w:rFonts w:ascii="Times New Roman"/>
          <w:b w:val="false"/>
          <w:i w:val="false"/>
          <w:color w:val="000000"/>
          <w:sz w:val="28"/>
        </w:rPr>
        <w:t xml:space="preserve">
      No. s/o – sequence order number. </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