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9d78" w14:textId="e5e9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determining the cost of research, consulting services and the state task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December 31, 2021 № ҚР ДСМ-140. Registered with the Ministry of Justice of the Republic of Kazakhstan on January 5, 2022 № 26376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clause 5 of Article 34 of the Budget Code of the Republic of Kazakhstan,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To approve the attached Rules for determining the cost of research, consulting services and the state task.</w:t>
      </w:r>
    </w:p>
    <w:bookmarkEnd w:id="0"/>
    <w:bookmarkStart w:name="z1" w:id="1"/>
    <w:p>
      <w:pPr>
        <w:spacing w:after="0"/>
        <w:ind w:left="0"/>
        <w:jc w:val="both"/>
      </w:pPr>
      <w:r>
        <w:rPr>
          <w:rFonts w:ascii="Times New Roman"/>
          <w:b w:val="false"/>
          <w:i w:val="false"/>
          <w:color w:val="000000"/>
          <w:sz w:val="28"/>
        </w:rPr>
        <w:t>
      2. The Budget Department of the Ministry of Healthcare of the Republic of Kazakhstan in accordance with the procedure, established by the legislation of the Republic of Kazakhstan, shall ensure: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provided for in subclauses 1) and 2) of this clause.</w:t>
      </w:r>
    </w:p>
    <w:bookmarkStart w:name="z2" w:id="2"/>
    <w:p>
      <w:pPr>
        <w:spacing w:after="0"/>
        <w:ind w:left="0"/>
        <w:jc w:val="both"/>
      </w:pPr>
      <w:r>
        <w:rPr>
          <w:rFonts w:ascii="Times New Roman"/>
          <w:b w:val="false"/>
          <w:i w:val="false"/>
          <w:color w:val="000000"/>
          <w:sz w:val="28"/>
        </w:rPr>
        <w:t>
      3. Control over execution of this order shall be entrusted to the supervising Vice Minister of Healthcare of the Republic of Kazakhstan.</w:t>
      </w:r>
    </w:p>
    <w:bookmarkEnd w:id="2"/>
    <w:bookmarkStart w:name="z3" w:id="3"/>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Zh. Burkitbayev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of the Acting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December 31, 2021 No. ҚР ДСМ-140</w:t>
            </w:r>
          </w:p>
        </w:tc>
      </w:tr>
    </w:tbl>
    <w:bookmarkStart w:name="z5" w:id="4"/>
    <w:p>
      <w:pPr>
        <w:spacing w:after="0"/>
        <w:ind w:left="0"/>
        <w:jc w:val="left"/>
      </w:pPr>
      <w:r>
        <w:rPr>
          <w:rFonts w:ascii="Times New Roman"/>
          <w:b/>
          <w:i w:val="false"/>
          <w:color w:val="000000"/>
        </w:rPr>
        <w:t xml:space="preserve"> Rules for determining the cost of research, consulting services and the state task </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1. These Rules for determining the cost of research, consulting services and the state task (hereinafter referred to as the Rules) have been developed in accordance with clause 5 of Article 34 of the Budget Code of the Republic of Kazakhstan and shall determine the cost of research, consulting services and the state task.</w:t>
      </w:r>
    </w:p>
    <w:bookmarkEnd w:id="6"/>
    <w:bookmarkStart w:name="z8" w:id="7"/>
    <w:p>
      <w:pPr>
        <w:spacing w:after="0"/>
        <w:ind w:left="0"/>
        <w:jc w:val="left"/>
      </w:pPr>
      <w:r>
        <w:rPr>
          <w:rFonts w:ascii="Times New Roman"/>
          <w:b/>
          <w:i w:val="false"/>
          <w:color w:val="000000"/>
        </w:rPr>
        <w:t xml:space="preserve"> Chapter 2. Procedure for determining the cost of research, consulting services and the state task</w:t>
      </w:r>
    </w:p>
    <w:bookmarkEnd w:id="7"/>
    <w:bookmarkStart w:name="z9" w:id="8"/>
    <w:p>
      <w:pPr>
        <w:spacing w:after="0"/>
        <w:ind w:left="0"/>
        <w:jc w:val="both"/>
      </w:pPr>
      <w:r>
        <w:rPr>
          <w:rFonts w:ascii="Times New Roman"/>
          <w:b w:val="false"/>
          <w:i w:val="false"/>
          <w:color w:val="000000"/>
          <w:sz w:val="28"/>
        </w:rPr>
        <w:t>
      2. To determine the cost of services provided by a potential supplier, the costs related to the main type of its activity shall be taken into account.</w:t>
      </w:r>
    </w:p>
    <w:bookmarkEnd w:id="8"/>
    <w:bookmarkStart w:name="z10" w:id="9"/>
    <w:p>
      <w:pPr>
        <w:spacing w:after="0"/>
        <w:ind w:left="0"/>
        <w:jc w:val="both"/>
      </w:pPr>
      <w:r>
        <w:rPr>
          <w:rFonts w:ascii="Times New Roman"/>
          <w:b w:val="false"/>
          <w:i w:val="false"/>
          <w:color w:val="000000"/>
          <w:sz w:val="28"/>
        </w:rPr>
        <w:t>
      3. To calculate the cost of research, consulting services and the state task, a unit of service shall be determined.</w:t>
      </w:r>
    </w:p>
    <w:bookmarkEnd w:id="9"/>
    <w:bookmarkStart w:name="z11" w:id="10"/>
    <w:p>
      <w:pPr>
        <w:spacing w:after="0"/>
        <w:ind w:left="0"/>
        <w:jc w:val="both"/>
      </w:pPr>
      <w:r>
        <w:rPr>
          <w:rFonts w:ascii="Times New Roman"/>
          <w:b w:val="false"/>
          <w:i w:val="false"/>
          <w:color w:val="000000"/>
          <w:sz w:val="28"/>
        </w:rPr>
        <w:t>
      4. Determination of the cost structure of research, consulting services and the state task shall be carried out on the basis of:</w:t>
      </w:r>
    </w:p>
    <w:bookmarkEnd w:id="10"/>
    <w:p>
      <w:pPr>
        <w:spacing w:after="0"/>
        <w:ind w:left="0"/>
        <w:jc w:val="both"/>
      </w:pPr>
      <w:r>
        <w:rPr>
          <w:rFonts w:ascii="Times New Roman"/>
          <w:b w:val="false"/>
          <w:i w:val="false"/>
          <w:color w:val="000000"/>
          <w:sz w:val="28"/>
        </w:rPr>
        <w:t>
      1) the amount of direct costs for the provision of research, consulting services and the state task;</w:t>
      </w:r>
    </w:p>
    <w:p>
      <w:pPr>
        <w:spacing w:after="0"/>
        <w:ind w:left="0"/>
        <w:jc w:val="both"/>
      </w:pPr>
      <w:r>
        <w:rPr>
          <w:rFonts w:ascii="Times New Roman"/>
          <w:b w:val="false"/>
          <w:i w:val="false"/>
          <w:color w:val="000000"/>
          <w:sz w:val="28"/>
        </w:rPr>
        <w:t>
      2) the amount of overhead costs (indirect) for the provision of research, consulting services and the state task.</w:t>
      </w:r>
    </w:p>
    <w:bookmarkStart w:name="z12" w:id="11"/>
    <w:p>
      <w:pPr>
        <w:spacing w:after="0"/>
        <w:ind w:left="0"/>
        <w:jc w:val="both"/>
      </w:pPr>
      <w:r>
        <w:rPr>
          <w:rFonts w:ascii="Times New Roman"/>
          <w:b w:val="false"/>
          <w:i w:val="false"/>
          <w:color w:val="000000"/>
          <w:sz w:val="28"/>
        </w:rPr>
        <w:t>
      5. Direct costs are the costs associated with the provision of services, which are directly and directly included in the cost of services provided.</w:t>
      </w:r>
    </w:p>
    <w:bookmarkEnd w:id="11"/>
    <w:bookmarkStart w:name="z13" w:id="12"/>
    <w:p>
      <w:pPr>
        <w:spacing w:after="0"/>
        <w:ind w:left="0"/>
        <w:jc w:val="both"/>
      </w:pPr>
      <w:r>
        <w:rPr>
          <w:rFonts w:ascii="Times New Roman"/>
          <w:b w:val="false"/>
          <w:i w:val="false"/>
          <w:color w:val="000000"/>
          <w:sz w:val="28"/>
        </w:rPr>
        <w:t>
      6. The direct costs include:</w:t>
      </w:r>
    </w:p>
    <w:bookmarkEnd w:id="12"/>
    <w:p>
      <w:pPr>
        <w:spacing w:after="0"/>
        <w:ind w:left="0"/>
        <w:jc w:val="both"/>
      </w:pPr>
      <w:r>
        <w:rPr>
          <w:rFonts w:ascii="Times New Roman"/>
          <w:b w:val="false"/>
          <w:i w:val="false"/>
          <w:color w:val="000000"/>
          <w:sz w:val="28"/>
        </w:rPr>
        <w:t>
      1) salary of employees (staff and freelance), carrying out the research, consulting services and the state task;</w:t>
      </w:r>
    </w:p>
    <w:p>
      <w:pPr>
        <w:spacing w:after="0"/>
        <w:ind w:left="0"/>
        <w:jc w:val="both"/>
      </w:pPr>
      <w:r>
        <w:rPr>
          <w:rFonts w:ascii="Times New Roman"/>
          <w:b w:val="false"/>
          <w:i w:val="false"/>
          <w:color w:val="000000"/>
          <w:sz w:val="28"/>
        </w:rPr>
        <w:t>
      2) social tax, social contributions to the state social insurance fund, employers' contributions to the social health insurance fund;</w:t>
      </w:r>
    </w:p>
    <w:p>
      <w:pPr>
        <w:spacing w:after="0"/>
        <w:ind w:left="0"/>
        <w:jc w:val="both"/>
      </w:pPr>
      <w:r>
        <w:rPr>
          <w:rFonts w:ascii="Times New Roman"/>
          <w:b w:val="false"/>
          <w:i w:val="false"/>
          <w:color w:val="000000"/>
          <w:sz w:val="28"/>
        </w:rPr>
        <w:t>
      3) value added tax;</w:t>
      </w:r>
    </w:p>
    <w:p>
      <w:pPr>
        <w:spacing w:after="0"/>
        <w:ind w:left="0"/>
        <w:jc w:val="both"/>
      </w:pPr>
      <w:r>
        <w:rPr>
          <w:rFonts w:ascii="Times New Roman"/>
          <w:b w:val="false"/>
          <w:i w:val="false"/>
          <w:color w:val="000000"/>
          <w:sz w:val="28"/>
        </w:rPr>
        <w:t>
      4) travel expenses of personnel conducting research, providing consulting services, performing the state task (official travel within the country and (or) outside the country);</w:t>
      </w:r>
    </w:p>
    <w:p>
      <w:pPr>
        <w:spacing w:after="0"/>
        <w:ind w:left="0"/>
        <w:jc w:val="both"/>
      </w:pPr>
      <w:r>
        <w:rPr>
          <w:rFonts w:ascii="Times New Roman"/>
          <w:b w:val="false"/>
          <w:i w:val="false"/>
          <w:color w:val="000000"/>
          <w:sz w:val="28"/>
        </w:rPr>
        <w:t>
      5) costs of involving external experts involved in the implementation of the service as a subcontractor.</w:t>
      </w:r>
    </w:p>
    <w:p>
      <w:pPr>
        <w:spacing w:after="0"/>
        <w:ind w:left="0"/>
        <w:jc w:val="both"/>
      </w:pPr>
      <w:r>
        <w:rPr>
          <w:rFonts w:ascii="Times New Roman"/>
          <w:b w:val="false"/>
          <w:i w:val="false"/>
          <w:color w:val="000000"/>
          <w:sz w:val="28"/>
        </w:rPr>
        <w:t>
      6) purchasing materials (consumables, stationery, inventory);</w:t>
      </w:r>
    </w:p>
    <w:p>
      <w:pPr>
        <w:spacing w:after="0"/>
        <w:ind w:left="0"/>
        <w:jc w:val="both"/>
      </w:pPr>
      <w:r>
        <w:rPr>
          <w:rFonts w:ascii="Times New Roman"/>
          <w:b w:val="false"/>
          <w:i w:val="false"/>
          <w:color w:val="000000"/>
          <w:sz w:val="28"/>
        </w:rPr>
        <w:t>
      7) communication services (postal, courier services, Internet, telephone services, including international and long-distance communications);</w:t>
      </w:r>
    </w:p>
    <w:p>
      <w:pPr>
        <w:spacing w:after="0"/>
        <w:ind w:left="0"/>
        <w:jc w:val="both"/>
      </w:pPr>
      <w:r>
        <w:rPr>
          <w:rFonts w:ascii="Times New Roman"/>
          <w:b w:val="false"/>
          <w:i w:val="false"/>
          <w:color w:val="000000"/>
          <w:sz w:val="28"/>
        </w:rPr>
        <w:t>
      8) transport services directly used for conducting research, providing consulting services, fulfilling the state task;</w:t>
      </w:r>
    </w:p>
    <w:p>
      <w:pPr>
        <w:spacing w:after="0"/>
        <w:ind w:left="0"/>
        <w:jc w:val="both"/>
      </w:pPr>
      <w:r>
        <w:rPr>
          <w:rFonts w:ascii="Times New Roman"/>
          <w:b w:val="false"/>
          <w:i w:val="false"/>
          <w:color w:val="000000"/>
          <w:sz w:val="28"/>
        </w:rPr>
        <w:t>
      9) printing costs (replication of blank products: questionnaires, route sheets, cards, research reports, test tasks, binding, filing and processing of documents);</w:t>
      </w:r>
    </w:p>
    <w:p>
      <w:pPr>
        <w:spacing w:after="0"/>
        <w:ind w:left="0"/>
        <w:jc w:val="both"/>
      </w:pPr>
      <w:r>
        <w:rPr>
          <w:rFonts w:ascii="Times New Roman"/>
          <w:b w:val="false"/>
          <w:i w:val="false"/>
          <w:color w:val="000000"/>
          <w:sz w:val="28"/>
        </w:rPr>
        <w:t>
      10) courier services (delivery of materials);</w:t>
      </w:r>
    </w:p>
    <w:p>
      <w:pPr>
        <w:spacing w:after="0"/>
        <w:ind w:left="0"/>
        <w:jc w:val="both"/>
      </w:pPr>
      <w:r>
        <w:rPr>
          <w:rFonts w:ascii="Times New Roman"/>
          <w:b w:val="false"/>
          <w:i w:val="false"/>
          <w:color w:val="000000"/>
          <w:sz w:val="28"/>
        </w:rPr>
        <w:t>
      11) rent for conferences, seminars, round tables;</w:t>
      </w:r>
    </w:p>
    <w:p>
      <w:pPr>
        <w:spacing w:after="0"/>
        <w:ind w:left="0"/>
        <w:jc w:val="both"/>
      </w:pPr>
      <w:r>
        <w:rPr>
          <w:rFonts w:ascii="Times New Roman"/>
          <w:b w:val="false"/>
          <w:i w:val="false"/>
          <w:color w:val="000000"/>
          <w:sz w:val="28"/>
        </w:rPr>
        <w:t>
      12) banking services;</w:t>
      </w:r>
    </w:p>
    <w:p>
      <w:pPr>
        <w:spacing w:after="0"/>
        <w:ind w:left="0"/>
        <w:jc w:val="both"/>
      </w:pPr>
      <w:r>
        <w:rPr>
          <w:rFonts w:ascii="Times New Roman"/>
          <w:b w:val="false"/>
          <w:i w:val="false"/>
          <w:color w:val="000000"/>
          <w:sz w:val="28"/>
        </w:rPr>
        <w:t>
      13) translation/interpreting services directly used for conducting research, providing consulting services, fulfilling a government assignment.</w:t>
      </w:r>
    </w:p>
    <w:bookmarkStart w:name="z14" w:id="13"/>
    <w:p>
      <w:pPr>
        <w:spacing w:after="0"/>
        <w:ind w:left="0"/>
        <w:jc w:val="both"/>
      </w:pPr>
      <w:r>
        <w:rPr>
          <w:rFonts w:ascii="Times New Roman"/>
          <w:b w:val="false"/>
          <w:i w:val="false"/>
          <w:color w:val="000000"/>
          <w:sz w:val="28"/>
        </w:rPr>
        <w:t>
      7. The overhead costs include:</w:t>
      </w:r>
    </w:p>
    <w:bookmarkEnd w:id="13"/>
    <w:p>
      <w:pPr>
        <w:spacing w:after="0"/>
        <w:ind w:left="0"/>
        <w:jc w:val="both"/>
      </w:pPr>
      <w:r>
        <w:rPr>
          <w:rFonts w:ascii="Times New Roman"/>
          <w:b w:val="false"/>
          <w:i w:val="false"/>
          <w:color w:val="000000"/>
          <w:sz w:val="28"/>
        </w:rPr>
        <w:t>
      1) salary of the administrative staff;</w:t>
      </w:r>
    </w:p>
    <w:p>
      <w:pPr>
        <w:spacing w:after="0"/>
        <w:ind w:left="0"/>
        <w:jc w:val="both"/>
      </w:pPr>
      <w:r>
        <w:rPr>
          <w:rFonts w:ascii="Times New Roman"/>
          <w:b w:val="false"/>
          <w:i w:val="false"/>
          <w:color w:val="000000"/>
          <w:sz w:val="28"/>
        </w:rPr>
        <w:t>
      2) social tax, social contributions to the state social insurance fund, employers' contributions to the social health insurance fund;</w:t>
      </w:r>
    </w:p>
    <w:p>
      <w:pPr>
        <w:spacing w:after="0"/>
        <w:ind w:left="0"/>
        <w:jc w:val="both"/>
      </w:pPr>
      <w:r>
        <w:rPr>
          <w:rFonts w:ascii="Times New Roman"/>
          <w:b w:val="false"/>
          <w:i w:val="false"/>
          <w:color w:val="000000"/>
          <w:sz w:val="28"/>
        </w:rPr>
        <w:t>
      3) taxes and other obligatory payments to the budget;</w:t>
      </w:r>
    </w:p>
    <w:p>
      <w:pPr>
        <w:spacing w:after="0"/>
        <w:ind w:left="0"/>
        <w:jc w:val="both"/>
      </w:pPr>
      <w:r>
        <w:rPr>
          <w:rFonts w:ascii="Times New Roman"/>
          <w:b w:val="false"/>
          <w:i w:val="false"/>
          <w:color w:val="000000"/>
          <w:sz w:val="28"/>
        </w:rPr>
        <w:t>
      4) travel expenses of administrative personnel (official travel within the country and (or) outside the country);</w:t>
      </w:r>
    </w:p>
    <w:p>
      <w:pPr>
        <w:spacing w:after="0"/>
        <w:ind w:left="0"/>
        <w:jc w:val="both"/>
      </w:pPr>
      <w:r>
        <w:rPr>
          <w:rFonts w:ascii="Times New Roman"/>
          <w:b w:val="false"/>
          <w:i w:val="false"/>
          <w:color w:val="000000"/>
          <w:sz w:val="28"/>
        </w:rPr>
        <w:t>
      5) insurance of administrative personnel (compulsory insurance of vehicles, employee against accidents in the performance of labor (official) duties);</w:t>
      </w:r>
    </w:p>
    <w:p>
      <w:pPr>
        <w:spacing w:after="0"/>
        <w:ind w:left="0"/>
        <w:jc w:val="both"/>
      </w:pPr>
      <w:r>
        <w:rPr>
          <w:rFonts w:ascii="Times New Roman"/>
          <w:b w:val="false"/>
          <w:i w:val="false"/>
          <w:color w:val="000000"/>
          <w:sz w:val="28"/>
        </w:rPr>
        <w:t>
      6) depreciation of fixed assets and intangible assets;</w:t>
      </w:r>
    </w:p>
    <w:p>
      <w:pPr>
        <w:spacing w:after="0"/>
        <w:ind w:left="0"/>
        <w:jc w:val="both"/>
      </w:pPr>
      <w:r>
        <w:rPr>
          <w:rFonts w:ascii="Times New Roman"/>
          <w:b w:val="false"/>
          <w:i w:val="false"/>
          <w:color w:val="000000"/>
          <w:sz w:val="28"/>
        </w:rPr>
        <w:t>
      7) maintenance and repair of fixed assets and intangible assets;</w:t>
      </w:r>
    </w:p>
    <w:p>
      <w:pPr>
        <w:spacing w:after="0"/>
        <w:ind w:left="0"/>
        <w:jc w:val="both"/>
      </w:pPr>
      <w:r>
        <w:rPr>
          <w:rFonts w:ascii="Times New Roman"/>
          <w:b w:val="false"/>
          <w:i w:val="false"/>
          <w:color w:val="000000"/>
          <w:sz w:val="28"/>
        </w:rPr>
        <w:t>
      8) public utilities: heating, electricity, water supply and sewerage, removal of municipal solid waste;</w:t>
      </w:r>
    </w:p>
    <w:p>
      <w:pPr>
        <w:spacing w:after="0"/>
        <w:ind w:left="0"/>
        <w:jc w:val="both"/>
      </w:pPr>
      <w:r>
        <w:rPr>
          <w:rFonts w:ascii="Times New Roman"/>
          <w:b w:val="false"/>
          <w:i w:val="false"/>
          <w:color w:val="000000"/>
          <w:sz w:val="28"/>
        </w:rPr>
        <w:t>
      9) rent of buildings and premises;</w:t>
      </w:r>
    </w:p>
    <w:p>
      <w:pPr>
        <w:spacing w:after="0"/>
        <w:ind w:left="0"/>
        <w:jc w:val="both"/>
      </w:pPr>
      <w:r>
        <w:rPr>
          <w:rFonts w:ascii="Times New Roman"/>
          <w:b w:val="false"/>
          <w:i w:val="false"/>
          <w:color w:val="000000"/>
          <w:sz w:val="28"/>
        </w:rPr>
        <w:t>
      10) communication services of administrative personnel (postal, courier services, Internet, telephone communication services, including international and long-distance communications);</w:t>
      </w:r>
    </w:p>
    <w:p>
      <w:pPr>
        <w:spacing w:after="0"/>
        <w:ind w:left="0"/>
        <w:jc w:val="both"/>
      </w:pPr>
      <w:r>
        <w:rPr>
          <w:rFonts w:ascii="Times New Roman"/>
          <w:b w:val="false"/>
          <w:i w:val="false"/>
          <w:color w:val="000000"/>
          <w:sz w:val="28"/>
        </w:rPr>
        <w:t>
      11) costs (information services, except for advertising, fire safety, security services, entertainment expenses, audit services, banking services, notary services, printing costs).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